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3B98" w14:textId="77777777" w:rsidR="004F75E1" w:rsidRPr="00127687" w:rsidRDefault="004F75E1" w:rsidP="004F75E1">
      <w:pPr>
        <w:jc w:val="right"/>
        <w:rPr>
          <w:rFonts w:ascii="Book Antiqua" w:hAnsi="Book Antiqua" w:cs="Calibri"/>
          <w:color w:val="000000"/>
          <w:sz w:val="28"/>
          <w:szCs w:val="28"/>
        </w:rPr>
      </w:pPr>
      <w:bookmarkStart w:id="0" w:name="_Hlk27380864"/>
      <w:r w:rsidRPr="00127687">
        <w:rPr>
          <w:rFonts w:ascii="Book Antiqua" w:hAnsi="Book Antiqua" w:cs="Calibri"/>
          <w:color w:val="000000"/>
          <w:sz w:val="28"/>
          <w:szCs w:val="28"/>
        </w:rPr>
        <w:t>Samantha Nadilo</w:t>
      </w:r>
    </w:p>
    <w:p w14:paraId="24C80C03" w14:textId="77777777" w:rsidR="004F75E1" w:rsidRPr="00CE262C" w:rsidRDefault="004F75E1" w:rsidP="004F75E1">
      <w:pPr>
        <w:jc w:val="right"/>
        <w:rPr>
          <w:rFonts w:ascii="Book Antiqua" w:hAnsi="Book Antiqua" w:cs="Calibri"/>
          <w:sz w:val="18"/>
          <w:szCs w:val="18"/>
        </w:rPr>
      </w:pPr>
      <w:r w:rsidRPr="00CE262C">
        <w:rPr>
          <w:rFonts w:ascii="Book Antiqua" w:hAnsi="Book Antiqua" w:cs="Calibri"/>
          <w:sz w:val="18"/>
          <w:szCs w:val="18"/>
        </w:rPr>
        <w:t>Fourth Floor Chambers</w:t>
      </w:r>
    </w:p>
    <w:p w14:paraId="6E1AE58E" w14:textId="295723B7" w:rsidR="004F75E1" w:rsidRPr="00CE262C" w:rsidRDefault="00596244" w:rsidP="004F75E1">
      <w:pPr>
        <w:jc w:val="right"/>
        <w:rPr>
          <w:rFonts w:ascii="Book Antiqua" w:hAnsi="Book Antiqua" w:cs="Calibri"/>
          <w:sz w:val="18"/>
          <w:szCs w:val="18"/>
        </w:rPr>
      </w:pPr>
      <w:r w:rsidRPr="00CE262C">
        <w:rPr>
          <w:rFonts w:ascii="Book Antiqua" w:hAnsi="Book Antiqua" w:cs="Calibri"/>
          <w:sz w:val="18"/>
          <w:szCs w:val="18"/>
        </w:rPr>
        <w:t xml:space="preserve">L 4, </w:t>
      </w:r>
      <w:r w:rsidR="004F75E1" w:rsidRPr="00CE262C">
        <w:rPr>
          <w:rFonts w:ascii="Book Antiqua" w:hAnsi="Book Antiqua" w:cs="Calibri"/>
          <w:sz w:val="18"/>
          <w:szCs w:val="18"/>
        </w:rPr>
        <w:t xml:space="preserve">40 St Georges Terrace </w:t>
      </w:r>
    </w:p>
    <w:p w14:paraId="18E558F2" w14:textId="77777777" w:rsidR="004F75E1" w:rsidRPr="00CE262C" w:rsidRDefault="004F75E1" w:rsidP="004F75E1">
      <w:pPr>
        <w:jc w:val="right"/>
        <w:rPr>
          <w:rFonts w:ascii="Book Antiqua" w:hAnsi="Book Antiqua" w:cs="Calibri"/>
          <w:sz w:val="18"/>
          <w:szCs w:val="18"/>
        </w:rPr>
      </w:pPr>
      <w:r w:rsidRPr="00CE262C">
        <w:rPr>
          <w:rFonts w:ascii="Book Antiqua" w:hAnsi="Book Antiqua" w:cs="Calibri"/>
          <w:sz w:val="18"/>
          <w:szCs w:val="18"/>
        </w:rPr>
        <w:t>PERTH WA 6000</w:t>
      </w:r>
    </w:p>
    <w:p w14:paraId="3192062B" w14:textId="77777777" w:rsidR="004F75E1" w:rsidRPr="00CE262C" w:rsidRDefault="004F75E1" w:rsidP="004F75E1">
      <w:pPr>
        <w:jc w:val="right"/>
        <w:rPr>
          <w:rFonts w:ascii="Book Antiqua" w:hAnsi="Book Antiqua" w:cs="Calibri"/>
          <w:sz w:val="18"/>
          <w:szCs w:val="18"/>
        </w:rPr>
      </w:pPr>
      <w:r w:rsidRPr="00CE262C">
        <w:rPr>
          <w:rFonts w:ascii="Book Antiqua" w:hAnsi="Book Antiqua" w:cs="Calibri"/>
          <w:sz w:val="18"/>
          <w:szCs w:val="18"/>
        </w:rPr>
        <w:t xml:space="preserve">D. +61 8 6217 4710 | M. +61 410 472 618 </w:t>
      </w:r>
    </w:p>
    <w:p w14:paraId="4A0379AF" w14:textId="77777777" w:rsidR="004F75E1" w:rsidRPr="00CE262C" w:rsidRDefault="004F75E1" w:rsidP="004F75E1">
      <w:pPr>
        <w:jc w:val="right"/>
        <w:rPr>
          <w:rFonts w:ascii="Book Antiqua" w:hAnsi="Book Antiqua" w:cs="Calibri"/>
          <w:sz w:val="18"/>
          <w:szCs w:val="18"/>
        </w:rPr>
      </w:pPr>
      <w:r w:rsidRPr="00CE262C">
        <w:rPr>
          <w:rFonts w:ascii="Book Antiqua" w:hAnsi="Book Antiqua" w:cs="Calibri"/>
          <w:sz w:val="18"/>
          <w:szCs w:val="18"/>
        </w:rPr>
        <w:t xml:space="preserve">E. </w:t>
      </w:r>
      <w:hyperlink r:id="rId10" w:history="1">
        <w:r w:rsidRPr="00CE262C">
          <w:rPr>
            <w:rStyle w:val="Hyperlink"/>
            <w:rFonts w:ascii="Book Antiqua" w:hAnsi="Book Antiqua" w:cs="Calibri"/>
            <w:sz w:val="18"/>
            <w:szCs w:val="18"/>
          </w:rPr>
          <w:t>samantha.nadilo@fourthfloor.com.au</w:t>
        </w:r>
      </w:hyperlink>
    </w:p>
    <w:p w14:paraId="3B184632" w14:textId="77777777" w:rsidR="00FE3AA5" w:rsidRPr="007F4679" w:rsidRDefault="00FE3AA5" w:rsidP="00FE3AA5">
      <w:pPr>
        <w:rPr>
          <w:rFonts w:ascii="Calibri" w:hAnsi="Calibri" w:cs="Calibri"/>
          <w:sz w:val="22"/>
          <w:szCs w:val="22"/>
        </w:rPr>
      </w:pPr>
    </w:p>
    <w:bookmarkEnd w:id="0"/>
    <w:p w14:paraId="1EE8387F" w14:textId="77777777" w:rsidR="00625F8E" w:rsidRPr="00130D13" w:rsidRDefault="00625F8E" w:rsidP="00316752">
      <w:pPr>
        <w:autoSpaceDE w:val="0"/>
        <w:autoSpaceDN w:val="0"/>
        <w:adjustRightInd w:val="0"/>
        <w:spacing w:before="120" w:after="120" w:line="276" w:lineRule="auto"/>
        <w:rPr>
          <w:rFonts w:ascii="Book Antiqua" w:eastAsiaTheme="minorHAnsi" w:hAnsi="Book Antiqua" w:cs="Athelas-Regular"/>
          <w:b/>
          <w:bCs/>
        </w:rPr>
      </w:pPr>
      <w:r w:rsidRPr="00130D13">
        <w:rPr>
          <w:rFonts w:ascii="Book Antiqua" w:eastAsiaTheme="minorHAnsi" w:hAnsi="Book Antiqua" w:cs="Athelas-Regular"/>
          <w:b/>
          <w:bCs/>
        </w:rPr>
        <w:t xml:space="preserve">Professional overview </w:t>
      </w:r>
    </w:p>
    <w:p w14:paraId="6CF6B1E6" w14:textId="0FE5F412" w:rsidR="0041624A" w:rsidRPr="00456AA9" w:rsidRDefault="0041624A" w:rsidP="0041624A">
      <w:pPr>
        <w:autoSpaceDE w:val="0"/>
        <w:autoSpaceDN w:val="0"/>
        <w:adjustRightInd w:val="0"/>
        <w:spacing w:before="120" w:after="120" w:line="276" w:lineRule="auto"/>
        <w:rPr>
          <w:rFonts w:ascii="Book Antiqua" w:eastAsiaTheme="minorHAnsi" w:hAnsi="Book Antiqua" w:cs="Avenir-Light"/>
          <w:sz w:val="20"/>
          <w:szCs w:val="20"/>
        </w:rPr>
      </w:pPr>
      <w:r>
        <w:rPr>
          <w:rFonts w:ascii="Book Antiqua" w:eastAsiaTheme="minorHAnsi" w:hAnsi="Book Antiqua" w:cs="Avenir-Light"/>
          <w:sz w:val="20"/>
          <w:szCs w:val="20"/>
        </w:rPr>
        <w:t>Samantha is</w:t>
      </w:r>
      <w:r w:rsidR="00E150F8" w:rsidRPr="00456AA9">
        <w:rPr>
          <w:rFonts w:ascii="Book Antiqua" w:eastAsiaTheme="minorHAnsi" w:hAnsi="Book Antiqua" w:cs="Avenir-Light"/>
          <w:sz w:val="20"/>
          <w:szCs w:val="20"/>
        </w:rPr>
        <w:t xml:space="preserve"> a</w:t>
      </w:r>
      <w:r>
        <w:rPr>
          <w:rFonts w:ascii="Book Antiqua" w:eastAsiaTheme="minorHAnsi" w:hAnsi="Book Antiqua" w:cs="Avenir-Light"/>
          <w:sz w:val="20"/>
          <w:szCs w:val="20"/>
        </w:rPr>
        <w:t>n</w:t>
      </w:r>
      <w:r w:rsidR="00E150F8" w:rsidRPr="00456AA9">
        <w:rPr>
          <w:rFonts w:ascii="Book Antiqua" w:eastAsiaTheme="minorHAnsi" w:hAnsi="Book Antiqua" w:cs="Avenir-Light"/>
          <w:sz w:val="20"/>
          <w:szCs w:val="20"/>
        </w:rPr>
        <w:t xml:space="preserve"> experienced </w:t>
      </w:r>
      <w:r w:rsidR="00AB76E5">
        <w:rPr>
          <w:rFonts w:ascii="Book Antiqua" w:eastAsiaTheme="minorHAnsi" w:hAnsi="Book Antiqua" w:cs="Avenir-Light"/>
          <w:sz w:val="20"/>
          <w:szCs w:val="20"/>
        </w:rPr>
        <w:t xml:space="preserve">commercial </w:t>
      </w:r>
      <w:r>
        <w:rPr>
          <w:rFonts w:ascii="Book Antiqua" w:eastAsiaTheme="minorHAnsi" w:hAnsi="Book Antiqua" w:cs="Avenir-Light"/>
          <w:sz w:val="20"/>
          <w:szCs w:val="20"/>
        </w:rPr>
        <w:t xml:space="preserve">barrister. She </w:t>
      </w:r>
      <w:r w:rsidRPr="00456AA9">
        <w:rPr>
          <w:rFonts w:ascii="Book Antiqua" w:eastAsiaTheme="minorHAnsi" w:hAnsi="Book Antiqua" w:cs="Avenir-Light"/>
          <w:sz w:val="20"/>
          <w:szCs w:val="20"/>
        </w:rPr>
        <w:t>appear</w:t>
      </w:r>
      <w:r>
        <w:rPr>
          <w:rFonts w:ascii="Book Antiqua" w:eastAsiaTheme="minorHAnsi" w:hAnsi="Book Antiqua" w:cs="Avenir-Light"/>
          <w:sz w:val="20"/>
          <w:szCs w:val="20"/>
        </w:rPr>
        <w:t>s</w:t>
      </w:r>
      <w:r w:rsidR="001E6861">
        <w:rPr>
          <w:rFonts w:ascii="Book Antiqua" w:eastAsiaTheme="minorHAnsi" w:hAnsi="Book Antiqua" w:cs="Avenir-Light"/>
          <w:sz w:val="20"/>
          <w:szCs w:val="20"/>
        </w:rPr>
        <w:t xml:space="preserve"> unled and led</w:t>
      </w:r>
      <w:r w:rsidRPr="00456AA9">
        <w:rPr>
          <w:rFonts w:ascii="Book Antiqua" w:eastAsiaTheme="minorHAnsi" w:hAnsi="Book Antiqua" w:cs="Avenir-Light"/>
          <w:sz w:val="20"/>
          <w:szCs w:val="20"/>
        </w:rPr>
        <w:t xml:space="preserve"> in </w:t>
      </w:r>
      <w:r w:rsidR="001E6861">
        <w:rPr>
          <w:rFonts w:ascii="Book Antiqua" w:eastAsiaTheme="minorHAnsi" w:hAnsi="Book Antiqua" w:cs="Avenir-Light"/>
          <w:sz w:val="20"/>
          <w:szCs w:val="20"/>
        </w:rPr>
        <w:t>a variety of courts</w:t>
      </w:r>
      <w:r w:rsidRPr="00456AA9">
        <w:rPr>
          <w:rFonts w:ascii="Book Antiqua" w:eastAsiaTheme="minorHAnsi" w:hAnsi="Book Antiqua" w:cs="Avenir-Light"/>
          <w:sz w:val="20"/>
          <w:szCs w:val="20"/>
        </w:rPr>
        <w:t xml:space="preserve"> and in tribunals, arbitrations, mediations, regulatory examinations, and public inquiries. </w:t>
      </w:r>
    </w:p>
    <w:p w14:paraId="60BCCDAE" w14:textId="33EF3475" w:rsidR="0058475A" w:rsidRPr="0058475A" w:rsidRDefault="00FB6AD3" w:rsidP="0058475A">
      <w:pPr>
        <w:autoSpaceDE w:val="0"/>
        <w:autoSpaceDN w:val="0"/>
        <w:adjustRightInd w:val="0"/>
        <w:spacing w:before="120" w:after="120" w:line="276" w:lineRule="auto"/>
        <w:rPr>
          <w:rFonts w:ascii="Book Antiqua" w:eastAsiaTheme="minorHAnsi" w:hAnsi="Book Antiqua" w:cs="Avenir-Light"/>
          <w:sz w:val="20"/>
          <w:szCs w:val="20"/>
        </w:rPr>
      </w:pPr>
      <w:r w:rsidRPr="00456AA9">
        <w:rPr>
          <w:rFonts w:ascii="Book Antiqua" w:eastAsiaTheme="minorHAnsi" w:hAnsi="Book Antiqua" w:cs="Avenir-Light"/>
          <w:sz w:val="20"/>
          <w:szCs w:val="20"/>
        </w:rPr>
        <w:t xml:space="preserve">Naturally in </w:t>
      </w:r>
      <w:r w:rsidR="00127687" w:rsidRPr="00456AA9">
        <w:rPr>
          <w:rFonts w:ascii="Book Antiqua" w:eastAsiaTheme="minorHAnsi" w:hAnsi="Book Antiqua" w:cs="Avenir-Light"/>
          <w:sz w:val="20"/>
          <w:szCs w:val="20"/>
        </w:rPr>
        <w:t>WA</w:t>
      </w:r>
      <w:r w:rsidRPr="00456AA9">
        <w:rPr>
          <w:rFonts w:ascii="Book Antiqua" w:eastAsiaTheme="minorHAnsi" w:hAnsi="Book Antiqua" w:cs="Avenir-Light"/>
          <w:sz w:val="20"/>
          <w:szCs w:val="20"/>
        </w:rPr>
        <w:t xml:space="preserve">, </w:t>
      </w:r>
      <w:r w:rsidR="001E6861">
        <w:rPr>
          <w:rFonts w:ascii="Book Antiqua" w:eastAsiaTheme="minorHAnsi" w:hAnsi="Book Antiqua" w:cs="Avenir-Light"/>
          <w:sz w:val="20"/>
          <w:szCs w:val="20"/>
        </w:rPr>
        <w:t xml:space="preserve">Samantha has </w:t>
      </w:r>
      <w:r w:rsidRPr="00456AA9">
        <w:rPr>
          <w:rFonts w:ascii="Book Antiqua" w:eastAsiaTheme="minorHAnsi" w:hAnsi="Book Antiqua" w:cs="Avenir-Light"/>
          <w:sz w:val="20"/>
          <w:szCs w:val="20"/>
        </w:rPr>
        <w:t xml:space="preserve">sector expertise in </w:t>
      </w:r>
      <w:r w:rsidR="00075AAD" w:rsidRPr="00456AA9">
        <w:rPr>
          <w:rFonts w:ascii="Book Antiqua" w:eastAsiaTheme="minorHAnsi" w:hAnsi="Book Antiqua" w:cs="Avenir-Light"/>
          <w:sz w:val="20"/>
          <w:szCs w:val="20"/>
        </w:rPr>
        <w:t>m</w:t>
      </w:r>
      <w:r w:rsidR="00396943" w:rsidRPr="00456AA9">
        <w:rPr>
          <w:rFonts w:ascii="Book Antiqua" w:eastAsiaTheme="minorHAnsi" w:hAnsi="Book Antiqua" w:cs="Avenir-Light"/>
          <w:sz w:val="20"/>
          <w:szCs w:val="20"/>
        </w:rPr>
        <w:t xml:space="preserve">ining and </w:t>
      </w:r>
      <w:r w:rsidR="00075AAD" w:rsidRPr="00456AA9">
        <w:rPr>
          <w:rFonts w:ascii="Book Antiqua" w:eastAsiaTheme="minorHAnsi" w:hAnsi="Book Antiqua" w:cs="Avenir-Light"/>
          <w:sz w:val="20"/>
          <w:szCs w:val="20"/>
        </w:rPr>
        <w:t>e</w:t>
      </w:r>
      <w:r w:rsidR="001D59F0" w:rsidRPr="00456AA9">
        <w:rPr>
          <w:rFonts w:ascii="Book Antiqua" w:eastAsiaTheme="minorHAnsi" w:hAnsi="Book Antiqua" w:cs="Avenir-Light"/>
          <w:sz w:val="20"/>
          <w:szCs w:val="20"/>
        </w:rPr>
        <w:t xml:space="preserve">nergy and </w:t>
      </w:r>
      <w:r w:rsidR="00075AAD" w:rsidRPr="00456AA9">
        <w:rPr>
          <w:rFonts w:ascii="Book Antiqua" w:eastAsiaTheme="minorHAnsi" w:hAnsi="Book Antiqua" w:cs="Avenir-Light"/>
          <w:sz w:val="20"/>
          <w:szCs w:val="20"/>
        </w:rPr>
        <w:t>r</w:t>
      </w:r>
      <w:r w:rsidR="001D59F0" w:rsidRPr="00456AA9">
        <w:rPr>
          <w:rFonts w:ascii="Book Antiqua" w:eastAsiaTheme="minorHAnsi" w:hAnsi="Book Antiqua" w:cs="Avenir-Light"/>
          <w:sz w:val="20"/>
          <w:szCs w:val="20"/>
        </w:rPr>
        <w:t xml:space="preserve">esources disputes. </w:t>
      </w:r>
      <w:r w:rsidR="001E6861">
        <w:rPr>
          <w:rFonts w:ascii="Book Antiqua" w:eastAsiaTheme="minorHAnsi" w:hAnsi="Book Antiqua" w:cs="Avenir-Light"/>
          <w:sz w:val="20"/>
          <w:szCs w:val="20"/>
        </w:rPr>
        <w:t>Samantha has</w:t>
      </w:r>
      <w:r w:rsidR="00075AAD" w:rsidRPr="00456AA9">
        <w:rPr>
          <w:rFonts w:ascii="Book Antiqua" w:eastAsiaTheme="minorHAnsi" w:hAnsi="Book Antiqua" w:cs="Avenir-Light"/>
          <w:sz w:val="20"/>
          <w:szCs w:val="20"/>
        </w:rPr>
        <w:t xml:space="preserve"> </w:t>
      </w:r>
      <w:proofErr w:type="gramStart"/>
      <w:r w:rsidR="000169AB">
        <w:rPr>
          <w:rFonts w:ascii="Book Antiqua" w:eastAsiaTheme="minorHAnsi" w:hAnsi="Book Antiqua" w:cs="Avenir-Light"/>
          <w:sz w:val="20"/>
          <w:szCs w:val="20"/>
        </w:rPr>
        <w:t>particular</w:t>
      </w:r>
      <w:r w:rsidR="00075AAD" w:rsidRPr="00456AA9">
        <w:rPr>
          <w:rFonts w:ascii="Book Antiqua" w:eastAsiaTheme="minorHAnsi" w:hAnsi="Book Antiqua" w:cs="Avenir-Light"/>
          <w:sz w:val="20"/>
          <w:szCs w:val="20"/>
        </w:rPr>
        <w:t xml:space="preserve"> expertise</w:t>
      </w:r>
      <w:proofErr w:type="gramEnd"/>
      <w:r w:rsidR="00075AAD" w:rsidRPr="00456AA9">
        <w:rPr>
          <w:rFonts w:ascii="Book Antiqua" w:eastAsiaTheme="minorHAnsi" w:hAnsi="Book Antiqua" w:cs="Avenir-Light"/>
          <w:sz w:val="20"/>
          <w:szCs w:val="20"/>
        </w:rPr>
        <w:t xml:space="preserve"> in </w:t>
      </w:r>
      <w:proofErr w:type="gramStart"/>
      <w:r w:rsidR="00075AAD" w:rsidRPr="00456AA9">
        <w:rPr>
          <w:rFonts w:ascii="Book Antiqua" w:eastAsiaTheme="minorHAnsi" w:hAnsi="Book Antiqua" w:cs="Avenir-Light"/>
          <w:sz w:val="20"/>
          <w:szCs w:val="20"/>
        </w:rPr>
        <w:t>corporations</w:t>
      </w:r>
      <w:proofErr w:type="gramEnd"/>
      <w:r w:rsidR="00075AAD" w:rsidRPr="00456AA9">
        <w:rPr>
          <w:rFonts w:ascii="Book Antiqua" w:eastAsiaTheme="minorHAnsi" w:hAnsi="Book Antiqua" w:cs="Avenir-Light"/>
          <w:sz w:val="20"/>
          <w:szCs w:val="20"/>
        </w:rPr>
        <w:t xml:space="preserve"> law, contract, consumer law, </w:t>
      </w:r>
      <w:r w:rsidR="0058475A">
        <w:rPr>
          <w:rFonts w:ascii="Book Antiqua" w:eastAsiaTheme="minorHAnsi" w:hAnsi="Book Antiqua" w:cs="Avenir-Light"/>
          <w:sz w:val="20"/>
          <w:szCs w:val="20"/>
        </w:rPr>
        <w:t>mining law</w:t>
      </w:r>
      <w:r w:rsidR="00F30DEE">
        <w:rPr>
          <w:rFonts w:ascii="Book Antiqua" w:eastAsiaTheme="minorHAnsi" w:hAnsi="Book Antiqua" w:cs="Avenir-Light"/>
          <w:sz w:val="20"/>
          <w:szCs w:val="20"/>
        </w:rPr>
        <w:t>, administrative law</w:t>
      </w:r>
      <w:r w:rsidR="000D63CE">
        <w:rPr>
          <w:rFonts w:ascii="Book Antiqua" w:eastAsiaTheme="minorHAnsi" w:hAnsi="Book Antiqua" w:cs="Avenir-Light"/>
          <w:sz w:val="20"/>
          <w:szCs w:val="20"/>
        </w:rPr>
        <w:t xml:space="preserve"> challenges to environmental approvals</w:t>
      </w:r>
      <w:r w:rsidR="0058475A">
        <w:rPr>
          <w:rFonts w:ascii="Book Antiqua" w:eastAsiaTheme="minorHAnsi" w:hAnsi="Book Antiqua" w:cs="Avenir-Light"/>
          <w:sz w:val="20"/>
          <w:szCs w:val="20"/>
        </w:rPr>
        <w:t xml:space="preserve">, </w:t>
      </w:r>
      <w:r w:rsidR="00075AAD" w:rsidRPr="00456AA9">
        <w:rPr>
          <w:rFonts w:ascii="Book Antiqua" w:eastAsiaTheme="minorHAnsi" w:hAnsi="Book Antiqua" w:cs="Avenir-Light"/>
          <w:sz w:val="20"/>
          <w:szCs w:val="20"/>
        </w:rPr>
        <w:t>corporate crime and investigations,</w:t>
      </w:r>
      <w:r w:rsidR="00D8071F" w:rsidRPr="00456AA9">
        <w:rPr>
          <w:rFonts w:ascii="Book Antiqua" w:eastAsiaTheme="minorHAnsi" w:hAnsi="Book Antiqua" w:cs="Avenir-Light"/>
          <w:sz w:val="20"/>
          <w:szCs w:val="20"/>
        </w:rPr>
        <w:t xml:space="preserve"> </w:t>
      </w:r>
      <w:r w:rsidR="009C2D14" w:rsidRPr="00456AA9">
        <w:rPr>
          <w:rFonts w:ascii="Book Antiqua" w:eastAsiaTheme="minorHAnsi" w:hAnsi="Book Antiqua" w:cs="Avenir-Light"/>
          <w:sz w:val="20"/>
          <w:szCs w:val="20"/>
        </w:rPr>
        <w:t xml:space="preserve">arbitration (domestic and international), </w:t>
      </w:r>
      <w:r w:rsidR="00D8071F" w:rsidRPr="00456AA9">
        <w:rPr>
          <w:rFonts w:ascii="Book Antiqua" w:eastAsiaTheme="minorHAnsi" w:hAnsi="Book Antiqua" w:cs="Avenir-Light"/>
          <w:sz w:val="20"/>
          <w:szCs w:val="20"/>
        </w:rPr>
        <w:t>class actions</w:t>
      </w:r>
      <w:r w:rsidR="00075AAD" w:rsidRPr="00456AA9">
        <w:rPr>
          <w:rFonts w:ascii="Book Antiqua" w:eastAsiaTheme="minorHAnsi" w:hAnsi="Book Antiqua" w:cs="Avenir-Light"/>
          <w:sz w:val="20"/>
          <w:szCs w:val="20"/>
        </w:rPr>
        <w:t xml:space="preserve"> and access regulation.</w:t>
      </w:r>
      <w:r w:rsidR="00A639B4">
        <w:rPr>
          <w:rFonts w:ascii="Book Antiqua" w:eastAsiaTheme="minorHAnsi" w:hAnsi="Book Antiqua" w:cs="Avenir-Light"/>
          <w:sz w:val="20"/>
          <w:szCs w:val="20"/>
        </w:rPr>
        <w:t xml:space="preserve"> </w:t>
      </w:r>
      <w:r w:rsidR="0058475A">
        <w:rPr>
          <w:rFonts w:ascii="Book Antiqua" w:eastAsiaTheme="minorHAnsi" w:hAnsi="Book Antiqua" w:cs="Avenir-Light"/>
          <w:sz w:val="20"/>
          <w:szCs w:val="20"/>
        </w:rPr>
        <w:t>Samantha is a m</w:t>
      </w:r>
      <w:r w:rsidR="0058475A" w:rsidRPr="0058475A">
        <w:rPr>
          <w:rFonts w:ascii="Book Antiqua" w:eastAsiaTheme="minorHAnsi" w:hAnsi="Book Antiqua" w:cs="Avenir-Light"/>
          <w:sz w:val="20"/>
          <w:szCs w:val="20"/>
        </w:rPr>
        <w:t xml:space="preserve">ember of </w:t>
      </w:r>
      <w:r w:rsidR="0058475A">
        <w:rPr>
          <w:rFonts w:ascii="Book Antiqua" w:eastAsiaTheme="minorHAnsi" w:hAnsi="Book Antiqua" w:cs="Avenir-Light"/>
          <w:sz w:val="20"/>
          <w:szCs w:val="20"/>
        </w:rPr>
        <w:t xml:space="preserve">the </w:t>
      </w:r>
      <w:r w:rsidR="0058475A" w:rsidRPr="0058475A">
        <w:rPr>
          <w:rFonts w:ascii="Book Antiqua" w:eastAsiaTheme="minorHAnsi" w:hAnsi="Book Antiqua" w:cs="Avenir-Light"/>
          <w:sz w:val="20"/>
          <w:szCs w:val="20"/>
        </w:rPr>
        <w:t xml:space="preserve">panel of individuals that can act as arbitrators in the event of a dispute under the </w:t>
      </w:r>
      <w:r w:rsidR="0058475A" w:rsidRPr="0058475A">
        <w:rPr>
          <w:rFonts w:ascii="Book Antiqua" w:eastAsiaTheme="minorHAnsi" w:hAnsi="Book Antiqua" w:cs="Avenir-Light"/>
          <w:i/>
          <w:iCs/>
          <w:sz w:val="20"/>
          <w:szCs w:val="20"/>
        </w:rPr>
        <w:t>Railways (Access) Code 2000</w:t>
      </w:r>
      <w:r w:rsidR="0058475A" w:rsidRPr="0058475A">
        <w:rPr>
          <w:rFonts w:ascii="Book Antiqua" w:eastAsiaTheme="minorHAnsi" w:hAnsi="Book Antiqua" w:cs="Avenir-Light"/>
          <w:sz w:val="20"/>
          <w:szCs w:val="20"/>
        </w:rPr>
        <w:t>.</w:t>
      </w:r>
    </w:p>
    <w:p w14:paraId="0055343C" w14:textId="38E2D59A" w:rsidR="00E150F8" w:rsidRPr="00456AA9" w:rsidRDefault="001E6861" w:rsidP="00316752">
      <w:pPr>
        <w:autoSpaceDE w:val="0"/>
        <w:autoSpaceDN w:val="0"/>
        <w:adjustRightInd w:val="0"/>
        <w:spacing w:before="120" w:after="120" w:line="276" w:lineRule="auto"/>
        <w:rPr>
          <w:rFonts w:ascii="Book Antiqua" w:eastAsiaTheme="minorHAnsi" w:hAnsi="Book Antiqua" w:cs="Avenir-Light"/>
          <w:sz w:val="20"/>
          <w:szCs w:val="20"/>
        </w:rPr>
      </w:pPr>
      <w:r>
        <w:rPr>
          <w:rFonts w:ascii="Book Antiqua" w:eastAsiaTheme="minorHAnsi" w:hAnsi="Book Antiqua" w:cs="Avenir-Light"/>
          <w:sz w:val="20"/>
          <w:szCs w:val="20"/>
        </w:rPr>
        <w:t>Before being called to the bar</w:t>
      </w:r>
      <w:r w:rsidR="00E150F8" w:rsidRPr="00456AA9">
        <w:rPr>
          <w:rFonts w:ascii="Book Antiqua" w:eastAsiaTheme="minorHAnsi" w:hAnsi="Book Antiqua" w:cs="Avenir-Light"/>
          <w:sz w:val="20"/>
          <w:szCs w:val="20"/>
        </w:rPr>
        <w:t xml:space="preserve">, </w:t>
      </w:r>
      <w:r>
        <w:rPr>
          <w:rFonts w:ascii="Book Antiqua" w:eastAsiaTheme="minorHAnsi" w:hAnsi="Book Antiqua" w:cs="Avenir-Light"/>
          <w:sz w:val="20"/>
          <w:szCs w:val="20"/>
        </w:rPr>
        <w:t xml:space="preserve">Samantha </w:t>
      </w:r>
      <w:r w:rsidR="00E150F8" w:rsidRPr="00456AA9">
        <w:rPr>
          <w:rFonts w:ascii="Book Antiqua" w:eastAsiaTheme="minorHAnsi" w:hAnsi="Book Antiqua" w:cs="Avenir-Light"/>
          <w:sz w:val="20"/>
          <w:szCs w:val="20"/>
        </w:rPr>
        <w:t xml:space="preserve">was a Senior Associate in the Disputes team at Herbert Smith Freehills. </w:t>
      </w:r>
      <w:r>
        <w:rPr>
          <w:rFonts w:ascii="Book Antiqua" w:eastAsiaTheme="minorHAnsi" w:hAnsi="Book Antiqua" w:cs="Avenir-Light"/>
          <w:sz w:val="20"/>
          <w:szCs w:val="20"/>
        </w:rPr>
        <w:t>She</w:t>
      </w:r>
      <w:r w:rsidR="00E150F8" w:rsidRPr="00456AA9">
        <w:rPr>
          <w:rFonts w:ascii="Book Antiqua" w:eastAsiaTheme="minorHAnsi" w:hAnsi="Book Antiqua" w:cs="Avenir-Light"/>
          <w:sz w:val="20"/>
          <w:szCs w:val="20"/>
        </w:rPr>
        <w:t xml:space="preserve"> joined Freehills (as it then was) in 2007 and practised in both Perth and Sydney.</w:t>
      </w:r>
    </w:p>
    <w:p w14:paraId="13D07222" w14:textId="49B95993" w:rsidR="00625F8E" w:rsidRDefault="00BF33E8" w:rsidP="00316752">
      <w:pPr>
        <w:autoSpaceDE w:val="0"/>
        <w:autoSpaceDN w:val="0"/>
        <w:adjustRightInd w:val="0"/>
        <w:spacing w:before="120" w:after="120" w:line="276" w:lineRule="auto"/>
        <w:rPr>
          <w:rFonts w:ascii="Book Antiqua" w:eastAsiaTheme="minorHAnsi" w:hAnsi="Book Antiqua" w:cs="Athelas-Regular"/>
          <w:b/>
          <w:bCs/>
        </w:rPr>
      </w:pPr>
      <w:r>
        <w:rPr>
          <w:rFonts w:ascii="Book Antiqua" w:eastAsiaTheme="minorHAnsi" w:hAnsi="Book Antiqua" w:cs="Athelas-Regular"/>
          <w:b/>
          <w:bCs/>
        </w:rPr>
        <w:t xml:space="preserve">Recent </w:t>
      </w:r>
      <w:r w:rsidR="00F26A48">
        <w:rPr>
          <w:rFonts w:ascii="Book Antiqua" w:eastAsiaTheme="minorHAnsi" w:hAnsi="Book Antiqua" w:cs="Athelas-Regular"/>
          <w:b/>
          <w:bCs/>
        </w:rPr>
        <w:t xml:space="preserve">matters </w:t>
      </w:r>
      <w:r>
        <w:rPr>
          <w:rFonts w:ascii="Book Antiqua" w:eastAsiaTheme="minorHAnsi" w:hAnsi="Book Antiqua" w:cs="Athelas-Regular"/>
          <w:b/>
          <w:bCs/>
        </w:rPr>
        <w:t>– unled</w:t>
      </w:r>
      <w:r w:rsidR="00DB2D1C">
        <w:rPr>
          <w:rFonts w:ascii="Book Antiqua" w:eastAsiaTheme="minorHAnsi" w:hAnsi="Book Antiqua" w:cs="Athelas-Regular"/>
          <w:b/>
          <w:bCs/>
        </w:rPr>
        <w:t xml:space="preserve"> or as co-counsel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410"/>
        <w:gridCol w:w="3685"/>
      </w:tblGrid>
      <w:tr w:rsidR="00503030" w14:paraId="3E8CD313" w14:textId="77777777" w:rsidTr="00383BCD">
        <w:tc>
          <w:tcPr>
            <w:tcW w:w="3119" w:type="dxa"/>
          </w:tcPr>
          <w:p w14:paraId="65F7DA4F" w14:textId="75B259F1" w:rsidR="00503030" w:rsidRPr="00CC434B" w:rsidRDefault="00503030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Dynamic Insurance Services Pty Ltd v Steadfast Group Limited</w:t>
            </w:r>
          </w:p>
        </w:tc>
        <w:tc>
          <w:tcPr>
            <w:tcW w:w="2410" w:type="dxa"/>
          </w:tcPr>
          <w:p w14:paraId="707EF066" w14:textId="1E37D546" w:rsidR="00503030" w:rsidRDefault="005E25AC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[2026] FCA 964</w:t>
            </w:r>
          </w:p>
        </w:tc>
        <w:tc>
          <w:tcPr>
            <w:tcW w:w="3685" w:type="dxa"/>
          </w:tcPr>
          <w:p w14:paraId="50D961E1" w14:textId="05305672" w:rsidR="00503030" w:rsidRDefault="005E25AC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Application to dispense with requirement for corporation to be represented by a lawyer</w:t>
            </w:r>
          </w:p>
        </w:tc>
      </w:tr>
      <w:tr w:rsidR="009466CE" w14:paraId="2EEE276F" w14:textId="77777777" w:rsidTr="00383BCD">
        <w:tc>
          <w:tcPr>
            <w:tcW w:w="3119" w:type="dxa"/>
          </w:tcPr>
          <w:p w14:paraId="0697C107" w14:textId="0D0DCC45" w:rsidR="009466CE" w:rsidRDefault="00CC434B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CC434B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Tan v Racing and Wagering Australia</w:t>
            </w:r>
          </w:p>
        </w:tc>
        <w:tc>
          <w:tcPr>
            <w:tcW w:w="2410" w:type="dxa"/>
          </w:tcPr>
          <w:p w14:paraId="06D4CD83" w14:textId="140A5A01" w:rsidR="009466CE" w:rsidRDefault="00FF72F9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[2026] WASC 204</w:t>
            </w:r>
          </w:p>
        </w:tc>
        <w:tc>
          <w:tcPr>
            <w:tcW w:w="3685" w:type="dxa"/>
          </w:tcPr>
          <w:p w14:paraId="2CDCD543" w14:textId="23B82999" w:rsidR="009466CE" w:rsidRDefault="00CC434B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Application for judicial review </w:t>
            </w:r>
            <w:r w:rsidR="00AB612A">
              <w:rPr>
                <w:rFonts w:ascii="Book Antiqua" w:eastAsiaTheme="minorHAnsi" w:hAnsi="Book Antiqua" w:cs="Athelas-Regular"/>
                <w:sz w:val="20"/>
                <w:szCs w:val="20"/>
              </w:rPr>
              <w:t>–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</w:t>
            </w:r>
            <w:r w:rsidR="00AB612A">
              <w:rPr>
                <w:rFonts w:ascii="Book Antiqua" w:eastAsiaTheme="minorHAnsi" w:hAnsi="Book Antiqua" w:cs="Athelas-Regular"/>
                <w:sz w:val="20"/>
                <w:szCs w:val="20"/>
              </w:rPr>
              <w:t>application for summary disposal about Court’s jurisdiction</w:t>
            </w:r>
          </w:p>
        </w:tc>
      </w:tr>
      <w:tr w:rsidR="00E1426E" w14:paraId="2A0C09E8" w14:textId="77777777" w:rsidTr="00383BCD">
        <w:tc>
          <w:tcPr>
            <w:tcW w:w="3119" w:type="dxa"/>
          </w:tcPr>
          <w:p w14:paraId="6CD87CF8" w14:textId="061D5187" w:rsidR="00E1426E" w:rsidRDefault="00E1426E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FMR Investments Pty Ltd v </w:t>
            </w:r>
            <w:r w:rsidR="00DA770C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Keogh </w:t>
            </w:r>
          </w:p>
        </w:tc>
        <w:tc>
          <w:tcPr>
            <w:tcW w:w="2410" w:type="dxa"/>
          </w:tcPr>
          <w:p w14:paraId="59AD9E7D" w14:textId="77777777" w:rsidR="005C517B" w:rsidRDefault="002C24E7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[2026] WASC 138</w:t>
            </w:r>
          </w:p>
          <w:p w14:paraId="1DCD01A0" w14:textId="77777777" w:rsidR="005C517B" w:rsidRDefault="005C517B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</w:p>
          <w:p w14:paraId="681C8483" w14:textId="77777777" w:rsidR="005C517B" w:rsidRDefault="005C517B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</w:p>
          <w:p w14:paraId="483F20B7" w14:textId="43C5240B" w:rsidR="002C24E7" w:rsidRDefault="00726F01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[2026] WASC 166</w:t>
            </w:r>
          </w:p>
        </w:tc>
        <w:tc>
          <w:tcPr>
            <w:tcW w:w="3685" w:type="dxa"/>
          </w:tcPr>
          <w:p w14:paraId="291D1529" w14:textId="77777777" w:rsidR="005C517B" w:rsidRDefault="00DA770C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Claims for breach of fiduciary duty</w:t>
            </w:r>
            <w:r w:rsidR="00AD6168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and conversion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(</w:t>
            </w:r>
            <w:r w:rsidR="00AD6168">
              <w:rPr>
                <w:rFonts w:ascii="Book Antiqua" w:eastAsiaTheme="minorHAnsi" w:hAnsi="Book Antiqua" w:cs="Athelas-Regular"/>
                <w:sz w:val="20"/>
                <w:szCs w:val="20"/>
              </w:rPr>
              <w:t>with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S Penglis SC</w:t>
            </w:r>
            <w:r w:rsidR="00AD6168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and CV Wren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)</w:t>
            </w:r>
          </w:p>
          <w:p w14:paraId="38D6F89A" w14:textId="34B544CC" w:rsidR="00F117C8" w:rsidRDefault="00F117C8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Contempt of Court – Appropriate penalty and purge application</w:t>
            </w:r>
          </w:p>
        </w:tc>
      </w:tr>
      <w:tr w:rsidR="007D6173" w14:paraId="66023B17" w14:textId="77777777" w:rsidTr="00383BCD">
        <w:tc>
          <w:tcPr>
            <w:tcW w:w="3119" w:type="dxa"/>
          </w:tcPr>
          <w:p w14:paraId="5D7DAB26" w14:textId="6E7F0FED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Aquila Steel Pty Ltd v BHP Minerals Pty Ltd</w:t>
            </w:r>
          </w:p>
        </w:tc>
        <w:tc>
          <w:tcPr>
            <w:tcW w:w="2410" w:type="dxa"/>
          </w:tcPr>
          <w:p w14:paraId="391BC22C" w14:textId="52D11954" w:rsidR="007D6173" w:rsidRPr="00467009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467009">
              <w:rPr>
                <w:rFonts w:ascii="Book Antiqua" w:eastAsiaTheme="minorHAnsi" w:hAnsi="Book Antiqua" w:cs="Athelas-Regular"/>
                <w:sz w:val="20"/>
                <w:szCs w:val="20"/>
              </w:rPr>
              <w:t>[2026] WASCA</w:t>
            </w:r>
            <w:r w:rsidR="00467009" w:rsidRPr="00467009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6</w:t>
            </w:r>
          </w:p>
        </w:tc>
        <w:tc>
          <w:tcPr>
            <w:tcW w:w="3685" w:type="dxa"/>
          </w:tcPr>
          <w:p w14:paraId="78F4E500" w14:textId="5576691F" w:rsidR="007D6173" w:rsidRDefault="00467009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Proper construction of temporary reserve and issues affecting declaratory relief</w:t>
            </w:r>
            <w:r w:rsidR="006110E5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(with</w:t>
            </w:r>
            <w:r w:rsidR="006110E5"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SK Dharmananda SC</w:t>
            </w:r>
            <w:r w:rsidR="006110E5">
              <w:rPr>
                <w:rFonts w:ascii="Book Antiqua" w:eastAsiaTheme="minorHAnsi" w:hAnsi="Book Antiqua" w:cs="Athelas-Regular"/>
                <w:sz w:val="20"/>
                <w:szCs w:val="20"/>
              </w:rPr>
              <w:t>)</w:t>
            </w:r>
          </w:p>
        </w:tc>
      </w:tr>
      <w:tr w:rsidR="00092E25" w14:paraId="5A74EE63" w14:textId="77777777" w:rsidTr="00383BCD">
        <w:tc>
          <w:tcPr>
            <w:tcW w:w="3119" w:type="dxa"/>
          </w:tcPr>
          <w:p w14:paraId="74D883D6" w14:textId="3E535C7A" w:rsidR="00092E25" w:rsidRPr="00FF642D" w:rsidRDefault="00FF642D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FF642D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In the Matter of Ultima United Limited (In Liquidation) (ACN 123 920 990)</w:t>
            </w:r>
            <w:r w:rsidRPr="00FF642D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410" w:type="dxa"/>
          </w:tcPr>
          <w:p w14:paraId="314698D6" w14:textId="6B78AFDD" w:rsidR="00092E25" w:rsidRDefault="00FF642D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  <w:highlight w:val="yellow"/>
              </w:rPr>
            </w:pPr>
            <w:r w:rsidRPr="007B476C">
              <w:rPr>
                <w:rFonts w:ascii="Book Antiqua" w:eastAsiaTheme="minorHAnsi" w:hAnsi="Book Antiqua" w:cs="Athelas-Regular"/>
                <w:sz w:val="20"/>
                <w:szCs w:val="20"/>
              </w:rPr>
              <w:t>2025</w:t>
            </w:r>
            <w:r w:rsidR="007B476C" w:rsidRPr="007B476C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and 2026</w:t>
            </w:r>
          </w:p>
        </w:tc>
        <w:tc>
          <w:tcPr>
            <w:tcW w:w="3685" w:type="dxa"/>
          </w:tcPr>
          <w:p w14:paraId="7C621963" w14:textId="01075E4D" w:rsidR="00092E25" w:rsidRDefault="00D4379F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Public examination by liquidator</w:t>
            </w:r>
            <w:r w:rsidR="00F32310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– appearance for </w:t>
            </w:r>
            <w:r w:rsidR="00935567">
              <w:rPr>
                <w:rFonts w:ascii="Book Antiqua" w:eastAsiaTheme="minorHAnsi" w:hAnsi="Book Antiqua" w:cs="Athelas-Regular"/>
                <w:sz w:val="20"/>
                <w:szCs w:val="20"/>
              </w:rPr>
              <w:t>company officers</w:t>
            </w:r>
          </w:p>
        </w:tc>
      </w:tr>
      <w:tr w:rsidR="007D6173" w14:paraId="3961FE2D" w14:textId="77777777" w:rsidTr="00383BCD">
        <w:tc>
          <w:tcPr>
            <w:tcW w:w="3119" w:type="dxa"/>
          </w:tcPr>
          <w:p w14:paraId="79D089F7" w14:textId="44902196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ASC Industries Pty Ltd v Demol Investments Pty Ltd </w:t>
            </w:r>
          </w:p>
        </w:tc>
        <w:tc>
          <w:tcPr>
            <w:tcW w:w="2410" w:type="dxa"/>
          </w:tcPr>
          <w:p w14:paraId="5049C449" w14:textId="1DC81706" w:rsidR="007D6173" w:rsidRPr="00DA770C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  <w:highlight w:val="yellow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[2025] WASC 548</w:t>
            </w:r>
          </w:p>
        </w:tc>
        <w:tc>
          <w:tcPr>
            <w:tcW w:w="3685" w:type="dxa"/>
          </w:tcPr>
          <w:p w14:paraId="38FC1297" w14:textId="70AA926A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Application for interim injunction and security for costs</w:t>
            </w:r>
          </w:p>
        </w:tc>
      </w:tr>
      <w:tr w:rsidR="007D6173" w14:paraId="68B728C4" w14:textId="77777777" w:rsidTr="00383BCD">
        <w:tc>
          <w:tcPr>
            <w:tcW w:w="3119" w:type="dxa"/>
          </w:tcPr>
          <w:p w14:paraId="2D180395" w14:textId="0799A812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Kelly v Hilton</w:t>
            </w:r>
          </w:p>
        </w:tc>
        <w:tc>
          <w:tcPr>
            <w:tcW w:w="2410" w:type="dxa"/>
          </w:tcPr>
          <w:p w14:paraId="0D4E2B7F" w14:textId="12301658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[2025] WASC 43</w:t>
            </w:r>
          </w:p>
        </w:tc>
        <w:tc>
          <w:tcPr>
            <w:tcW w:w="3685" w:type="dxa"/>
          </w:tcPr>
          <w:p w14:paraId="0AE75BBD" w14:textId="3BE1935D" w:rsidR="007D6173" w:rsidRPr="00824CED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Contempt of Court – Appropriate penalty and purge application</w:t>
            </w:r>
          </w:p>
        </w:tc>
      </w:tr>
      <w:tr w:rsidR="007D6173" w14:paraId="2F28CC02" w14:textId="77777777" w:rsidTr="00383BCD">
        <w:tc>
          <w:tcPr>
            <w:tcW w:w="3119" w:type="dxa"/>
          </w:tcPr>
          <w:p w14:paraId="54DF2ED9" w14:textId="46C4DCC3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BHP Nickel West Pty Ltd v NOVA Energy Pty Ltd </w:t>
            </w:r>
          </w:p>
        </w:tc>
        <w:tc>
          <w:tcPr>
            <w:tcW w:w="2410" w:type="dxa"/>
          </w:tcPr>
          <w:p w14:paraId="1115266F" w14:textId="4F81A9EF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[2024] WAMW 37</w:t>
            </w:r>
          </w:p>
        </w:tc>
        <w:tc>
          <w:tcPr>
            <w:tcW w:w="3685" w:type="dxa"/>
          </w:tcPr>
          <w:p w14:paraId="73701D81" w14:textId="3E9E078F" w:rsidR="007D6173" w:rsidRPr="00824CED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Interlocutory – Application for Extension of Time</w:t>
            </w:r>
          </w:p>
        </w:tc>
      </w:tr>
      <w:tr w:rsidR="007D6173" w14:paraId="1BCD01A8" w14:textId="77777777" w:rsidTr="00383BCD">
        <w:tc>
          <w:tcPr>
            <w:tcW w:w="3119" w:type="dxa"/>
          </w:tcPr>
          <w:p w14:paraId="76BD0A32" w14:textId="719568D7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lastRenderedPageBreak/>
              <w:t>Milne Agrigroup Pty Ltd v Inghams Enterprises Pty. Limited</w:t>
            </w:r>
          </w:p>
        </w:tc>
        <w:tc>
          <w:tcPr>
            <w:tcW w:w="2410" w:type="dxa"/>
          </w:tcPr>
          <w:p w14:paraId="4D3D20E4" w14:textId="1D300A7D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[2024] WASC 23</w:t>
            </w:r>
          </w:p>
        </w:tc>
        <w:tc>
          <w:tcPr>
            <w:tcW w:w="3685" w:type="dxa"/>
          </w:tcPr>
          <w:p w14:paraId="3D23A711" w14:textId="0FB3D2D6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824CED">
              <w:rPr>
                <w:rFonts w:ascii="Book Antiqua" w:eastAsiaTheme="minorHAnsi" w:hAnsi="Book Antiqua" w:cs="Athelas-Regular"/>
                <w:sz w:val="20"/>
                <w:szCs w:val="20"/>
              </w:rPr>
              <w:t>Application to set aside statutory demand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, and </w:t>
            </w:r>
            <w:r w:rsidRPr="00824CED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for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indemnity </w:t>
            </w:r>
            <w:r w:rsidRPr="00824CED">
              <w:rPr>
                <w:rFonts w:ascii="Book Antiqua" w:eastAsiaTheme="minorHAnsi" w:hAnsi="Book Antiqua" w:cs="Athelas-Regular"/>
                <w:sz w:val="20"/>
                <w:szCs w:val="20"/>
              </w:rPr>
              <w:t>costs</w:t>
            </w:r>
          </w:p>
        </w:tc>
      </w:tr>
      <w:tr w:rsidR="007D6173" w14:paraId="31AEB522" w14:textId="77777777" w:rsidTr="00383BCD">
        <w:tc>
          <w:tcPr>
            <w:tcW w:w="3119" w:type="dxa"/>
          </w:tcPr>
          <w:p w14:paraId="033FE905" w14:textId="2A30E3DE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YNAC v WA &amp; Ors</w:t>
            </w:r>
          </w:p>
        </w:tc>
        <w:tc>
          <w:tcPr>
            <w:tcW w:w="2410" w:type="dxa"/>
          </w:tcPr>
          <w:p w14:paraId="45DB27CD" w14:textId="36162CFA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2023</w:t>
            </w:r>
          </w:p>
        </w:tc>
        <w:tc>
          <w:tcPr>
            <w:tcW w:w="3685" w:type="dxa"/>
          </w:tcPr>
          <w:p w14:paraId="0392CC27" w14:textId="2CBF28D6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Interlocutory – Third party objection to subpoena and discovered documents </w:t>
            </w:r>
          </w:p>
        </w:tc>
      </w:tr>
      <w:tr w:rsidR="007D6173" w14:paraId="45732A56" w14:textId="77777777" w:rsidTr="00383BCD">
        <w:tc>
          <w:tcPr>
            <w:tcW w:w="3119" w:type="dxa"/>
          </w:tcPr>
          <w:p w14:paraId="5753D19C" w14:textId="15F2ECEC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Kelly v Hilton</w:t>
            </w:r>
          </w:p>
        </w:tc>
        <w:tc>
          <w:tcPr>
            <w:tcW w:w="2410" w:type="dxa"/>
          </w:tcPr>
          <w:p w14:paraId="459D203E" w14:textId="1957E026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[No 3] [2023] WASC 235</w:t>
            </w:r>
          </w:p>
        </w:tc>
        <w:tc>
          <w:tcPr>
            <w:tcW w:w="3685" w:type="dxa"/>
          </w:tcPr>
          <w:p w14:paraId="37EACACF" w14:textId="7B8EB6F4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Interlocutory - Application for subpoena and whistleblower protection</w:t>
            </w:r>
          </w:p>
        </w:tc>
      </w:tr>
      <w:tr w:rsidR="007D6173" w14:paraId="17D7F835" w14:textId="77777777" w:rsidTr="00383BCD">
        <w:tc>
          <w:tcPr>
            <w:tcW w:w="3119" w:type="dxa"/>
          </w:tcPr>
          <w:p w14:paraId="4A78B783" w14:textId="48D06579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Grant Thornton Australia Limited v King Street Precinct Pty ltd</w:t>
            </w:r>
          </w:p>
        </w:tc>
        <w:tc>
          <w:tcPr>
            <w:tcW w:w="2410" w:type="dxa"/>
          </w:tcPr>
          <w:p w14:paraId="14250797" w14:textId="7DD1BEB3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2023</w:t>
            </w:r>
          </w:p>
        </w:tc>
        <w:tc>
          <w:tcPr>
            <w:tcW w:w="3685" w:type="dxa"/>
          </w:tcPr>
          <w:p w14:paraId="6BA0EE04" w14:textId="728DE0DF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Magistrates Court – Means Inquiry</w:t>
            </w:r>
          </w:p>
        </w:tc>
      </w:tr>
      <w:tr w:rsidR="007D6173" w14:paraId="38ACFF76" w14:textId="77777777" w:rsidTr="00383BCD">
        <w:tc>
          <w:tcPr>
            <w:tcW w:w="3119" w:type="dxa"/>
          </w:tcPr>
          <w:p w14:paraId="6EA90D64" w14:textId="59051D7B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04556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Murray Riverside Pty Ltd v Toscana (WA) Ravenswood Estate Pty Ltd</w:t>
            </w:r>
          </w:p>
        </w:tc>
        <w:tc>
          <w:tcPr>
            <w:tcW w:w="2410" w:type="dxa"/>
          </w:tcPr>
          <w:p w14:paraId="6673AE09" w14:textId="5F02CD00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04556F">
              <w:rPr>
                <w:rFonts w:ascii="Book Antiqua" w:eastAsiaTheme="minorHAnsi" w:hAnsi="Book Antiqua" w:cs="Athelas-Regular"/>
                <w:sz w:val="20"/>
                <w:szCs w:val="20"/>
              </w:rPr>
              <w:t>[2022] WASCA 67</w:t>
            </w:r>
          </w:p>
        </w:tc>
        <w:tc>
          <w:tcPr>
            <w:tcW w:w="3685" w:type="dxa"/>
          </w:tcPr>
          <w:p w14:paraId="7EE88115" w14:textId="7CF89041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Costs</w:t>
            </w:r>
          </w:p>
        </w:tc>
      </w:tr>
      <w:tr w:rsidR="007D6173" w14:paraId="1B2A1678" w14:textId="77777777" w:rsidTr="00383BCD">
        <w:tc>
          <w:tcPr>
            <w:tcW w:w="3119" w:type="dxa"/>
          </w:tcPr>
          <w:p w14:paraId="5FD11D05" w14:textId="2311F165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04556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Mineralogy Pty Ltd v Sino Iron Pty Ltd</w:t>
            </w:r>
          </w:p>
        </w:tc>
        <w:tc>
          <w:tcPr>
            <w:tcW w:w="2410" w:type="dxa"/>
          </w:tcPr>
          <w:p w14:paraId="745329C5" w14:textId="58BC5552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04556F">
              <w:rPr>
                <w:rFonts w:ascii="Book Antiqua" w:eastAsiaTheme="minorHAnsi" w:hAnsi="Book Antiqua" w:cs="Athelas-Regular"/>
                <w:sz w:val="20"/>
                <w:szCs w:val="20"/>
              </w:rPr>
              <w:t>[2022] WASCA 26</w:t>
            </w:r>
          </w:p>
        </w:tc>
        <w:tc>
          <w:tcPr>
            <w:tcW w:w="3685" w:type="dxa"/>
          </w:tcPr>
          <w:p w14:paraId="35766C6B" w14:textId="584E8B5C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Costs</w:t>
            </w:r>
          </w:p>
        </w:tc>
      </w:tr>
      <w:tr w:rsidR="007D6173" w14:paraId="28B610B2" w14:textId="77777777" w:rsidTr="00383BCD">
        <w:tc>
          <w:tcPr>
            <w:tcW w:w="3119" w:type="dxa"/>
          </w:tcPr>
          <w:p w14:paraId="38ACCC04" w14:textId="4D950E7A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04556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MAEK Pty Ltd v Ibrahim</w:t>
            </w:r>
          </w:p>
        </w:tc>
        <w:tc>
          <w:tcPr>
            <w:tcW w:w="2410" w:type="dxa"/>
          </w:tcPr>
          <w:p w14:paraId="581B87CC" w14:textId="61950F98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04556F">
              <w:rPr>
                <w:rFonts w:ascii="Book Antiqua" w:eastAsiaTheme="minorHAnsi" w:hAnsi="Book Antiqua" w:cs="Athelas-Regular"/>
                <w:sz w:val="20"/>
                <w:szCs w:val="20"/>
              </w:rPr>
              <w:t>[2022] WASC 285</w:t>
            </w:r>
          </w:p>
        </w:tc>
        <w:tc>
          <w:tcPr>
            <w:tcW w:w="3685" w:type="dxa"/>
          </w:tcPr>
          <w:p w14:paraId="33358EDA" w14:textId="5C8938D1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Interlocutory - Application for discovery</w:t>
            </w:r>
          </w:p>
        </w:tc>
      </w:tr>
      <w:tr w:rsidR="007D6173" w14:paraId="4CCFC6FF" w14:textId="77777777" w:rsidTr="00383BCD">
        <w:tc>
          <w:tcPr>
            <w:tcW w:w="3119" w:type="dxa"/>
          </w:tcPr>
          <w:p w14:paraId="6BAB4BC9" w14:textId="32D4B06F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CC581B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De Grey Mining Ltd re Objections by Town of Port Hedland</w:t>
            </w:r>
          </w:p>
        </w:tc>
        <w:tc>
          <w:tcPr>
            <w:tcW w:w="2410" w:type="dxa"/>
          </w:tcPr>
          <w:p w14:paraId="25875708" w14:textId="3F698A18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2022</w:t>
            </w:r>
          </w:p>
        </w:tc>
        <w:tc>
          <w:tcPr>
            <w:tcW w:w="3685" w:type="dxa"/>
          </w:tcPr>
          <w:p w14:paraId="54228EDE" w14:textId="0F9F3CDD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Warden’s Court – Applications for mining leases and miscellaneous licence and objections to the same</w:t>
            </w:r>
          </w:p>
        </w:tc>
      </w:tr>
      <w:tr w:rsidR="007D6173" w14:paraId="125400C7" w14:textId="77777777" w:rsidTr="00383BCD">
        <w:tc>
          <w:tcPr>
            <w:tcW w:w="3119" w:type="dxa"/>
          </w:tcPr>
          <w:p w14:paraId="58573391" w14:textId="16D7815B" w:rsidR="007D6173" w:rsidRPr="000A7807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3A669E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Firefly Resources Limited</w:t>
            </w:r>
          </w:p>
        </w:tc>
        <w:tc>
          <w:tcPr>
            <w:tcW w:w="2410" w:type="dxa"/>
          </w:tcPr>
          <w:p w14:paraId="246213CD" w14:textId="35AA32C5" w:rsidR="007D6173" w:rsidRPr="003A669E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3A669E">
              <w:rPr>
                <w:rFonts w:ascii="Book Antiqua" w:eastAsiaTheme="minorHAnsi" w:hAnsi="Book Antiqua" w:cs="Athelas-Regular"/>
                <w:sz w:val="20"/>
                <w:szCs w:val="20"/>
              </w:rPr>
              <w:t>[2021] WASC 376</w:t>
            </w:r>
          </w:p>
        </w:tc>
        <w:tc>
          <w:tcPr>
            <w:tcW w:w="3685" w:type="dxa"/>
          </w:tcPr>
          <w:p w14:paraId="619E55F2" w14:textId="0385BE30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Scheme of Arrangement (with JRC Sippe)</w:t>
            </w:r>
          </w:p>
        </w:tc>
      </w:tr>
      <w:tr w:rsidR="007D6173" w14:paraId="51228DA2" w14:textId="77777777" w:rsidTr="00383BCD">
        <w:tc>
          <w:tcPr>
            <w:tcW w:w="3119" w:type="dxa"/>
          </w:tcPr>
          <w:p w14:paraId="13D3059E" w14:textId="58C22D91" w:rsidR="007D6173" w:rsidRPr="003A669E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3A669E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Registration Number 06517935, A Company Registered in the UK 116 Cardamon Limited v Macalister &amp; Ors</w:t>
            </w:r>
          </w:p>
        </w:tc>
        <w:tc>
          <w:tcPr>
            <w:tcW w:w="2410" w:type="dxa"/>
          </w:tcPr>
          <w:p w14:paraId="218B285C" w14:textId="41F951D2" w:rsidR="007D6173" w:rsidRPr="003A669E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October 2021 – </w:t>
            </w:r>
            <w:r w:rsidRPr="002A5801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Ex tempore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judgment</w:t>
            </w:r>
          </w:p>
        </w:tc>
        <w:tc>
          <w:tcPr>
            <w:tcW w:w="3685" w:type="dxa"/>
          </w:tcPr>
          <w:p w14:paraId="72982078" w14:textId="5F25492D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Application to discharge or vary freezing order</w:t>
            </w:r>
          </w:p>
        </w:tc>
      </w:tr>
      <w:tr w:rsidR="007D6173" w14:paraId="67AEBB9E" w14:textId="77777777" w:rsidTr="00383BCD">
        <w:tc>
          <w:tcPr>
            <w:tcW w:w="3119" w:type="dxa"/>
          </w:tcPr>
          <w:p w14:paraId="54B63B62" w14:textId="02AEE8CA" w:rsidR="007D6173" w:rsidRPr="003A669E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0A7807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Roseland Capital Pty Ltd </w:t>
            </w: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v</w:t>
            </w:r>
            <w:r w:rsidRPr="000A7807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 Neometals Limited</w:t>
            </w:r>
          </w:p>
        </w:tc>
        <w:tc>
          <w:tcPr>
            <w:tcW w:w="2410" w:type="dxa"/>
          </w:tcPr>
          <w:p w14:paraId="6E10F7D7" w14:textId="0B25406A" w:rsidR="007D6173" w:rsidRPr="003A669E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February 2021 – </w:t>
            </w:r>
            <w:r w:rsidRPr="002A5801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Ex tempore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judgment</w:t>
            </w:r>
          </w:p>
        </w:tc>
        <w:tc>
          <w:tcPr>
            <w:tcW w:w="3685" w:type="dxa"/>
          </w:tcPr>
          <w:p w14:paraId="1C00D9C2" w14:textId="27236E08" w:rsidR="007D6173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Interlocutory – Application for security for costs</w:t>
            </w:r>
          </w:p>
        </w:tc>
      </w:tr>
      <w:tr w:rsidR="007D6173" w14:paraId="507E3482" w14:textId="77777777" w:rsidTr="00383BCD">
        <w:tc>
          <w:tcPr>
            <w:tcW w:w="3119" w:type="dxa"/>
          </w:tcPr>
          <w:p w14:paraId="584B3A1E" w14:textId="21171093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ASIC investigation</w:t>
            </w:r>
          </w:p>
        </w:tc>
        <w:tc>
          <w:tcPr>
            <w:tcW w:w="2410" w:type="dxa"/>
          </w:tcPr>
          <w:p w14:paraId="590179A6" w14:textId="70A578F8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2021</w:t>
            </w:r>
          </w:p>
        </w:tc>
        <w:tc>
          <w:tcPr>
            <w:tcW w:w="3685" w:type="dxa"/>
          </w:tcPr>
          <w:p w14:paraId="28A4AC99" w14:textId="0E7B5E23" w:rsidR="007D6173" w:rsidRPr="0004556F" w:rsidRDefault="007D6173" w:rsidP="007D6173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I</w:t>
            </w:r>
            <w:r w:rsidRPr="00CC581B">
              <w:rPr>
                <w:rFonts w:ascii="Book Antiqua" w:eastAsiaTheme="minorHAnsi" w:hAnsi="Book Antiqua" w:cs="Athelas-Regular"/>
                <w:sz w:val="20"/>
                <w:szCs w:val="20"/>
              </w:rPr>
              <w:t>nvestigation into a publicly listed company and its officers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/</w:t>
            </w:r>
            <w:r w:rsidRPr="00CC581B">
              <w:rPr>
                <w:rFonts w:ascii="Book Antiqua" w:eastAsiaTheme="minorHAnsi" w:hAnsi="Book Antiqua" w:cs="Athelas-Regular"/>
                <w:sz w:val="20"/>
                <w:szCs w:val="20"/>
              </w:rPr>
              <w:t>employees, including appearing for ASIC at several s</w:t>
            </w:r>
            <w:r w:rsidR="00092E25">
              <w:rPr>
                <w:rFonts w:ascii="Book Antiqua" w:eastAsiaTheme="minorHAnsi" w:hAnsi="Book Antiqua" w:cs="Athelas-Regular"/>
                <w:sz w:val="20"/>
                <w:szCs w:val="20"/>
              </w:rPr>
              <w:t>ection</w:t>
            </w:r>
            <w:r w:rsidRPr="00CC581B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19 examinations</w:t>
            </w:r>
          </w:p>
        </w:tc>
      </w:tr>
    </w:tbl>
    <w:p w14:paraId="4F0D3053" w14:textId="4BC73E0B" w:rsidR="00DC2378" w:rsidRDefault="00DC2378" w:rsidP="001E6861">
      <w:pPr>
        <w:keepNext/>
        <w:keepLines/>
        <w:autoSpaceDE w:val="0"/>
        <w:autoSpaceDN w:val="0"/>
        <w:adjustRightInd w:val="0"/>
        <w:spacing w:before="120" w:after="120" w:line="276" w:lineRule="auto"/>
        <w:rPr>
          <w:rFonts w:ascii="Book Antiqua" w:eastAsiaTheme="minorHAnsi" w:hAnsi="Book Antiqua" w:cs="Athelas-Regular"/>
          <w:b/>
          <w:bCs/>
        </w:rPr>
      </w:pPr>
      <w:r>
        <w:rPr>
          <w:rFonts w:ascii="Book Antiqua" w:eastAsiaTheme="minorHAnsi" w:hAnsi="Book Antiqua" w:cs="Athelas-Regular"/>
          <w:b/>
          <w:bCs/>
        </w:rPr>
        <w:t xml:space="preserve">Recent </w:t>
      </w:r>
      <w:r w:rsidR="00F26A48">
        <w:rPr>
          <w:rFonts w:ascii="Book Antiqua" w:eastAsiaTheme="minorHAnsi" w:hAnsi="Book Antiqua" w:cs="Athelas-Regular"/>
          <w:b/>
          <w:bCs/>
        </w:rPr>
        <w:t>matters</w:t>
      </w:r>
      <w:r>
        <w:rPr>
          <w:rFonts w:ascii="Book Antiqua" w:eastAsiaTheme="minorHAnsi" w:hAnsi="Book Antiqua" w:cs="Athelas-Regular"/>
          <w:b/>
          <w:bCs/>
        </w:rPr>
        <w:t xml:space="preserve"> – led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546"/>
        <w:gridCol w:w="3407"/>
      </w:tblGrid>
      <w:tr w:rsidR="008A5E95" w14:paraId="6A0C76C2" w14:textId="77777777" w:rsidTr="001C0A4A">
        <w:tc>
          <w:tcPr>
            <w:tcW w:w="3119" w:type="dxa"/>
          </w:tcPr>
          <w:p w14:paraId="7EB42918" w14:textId="19814E1E" w:rsidR="008A5E95" w:rsidRPr="009D07FF" w:rsidRDefault="008A5E95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9D07F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SCL </w:t>
            </w: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v </w:t>
            </w:r>
            <w:r w:rsidRPr="009D07F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Kirkalocka </w:t>
            </w: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Gold SPV Pty Ltd </w:t>
            </w:r>
            <w:r w:rsidRPr="009D07F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&amp; Anor</w:t>
            </w:r>
          </w:p>
        </w:tc>
        <w:tc>
          <w:tcPr>
            <w:tcW w:w="2546" w:type="dxa"/>
          </w:tcPr>
          <w:p w14:paraId="60997B5F" w14:textId="41030066" w:rsidR="008A5E95" w:rsidRDefault="009466CE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[2026] FCAFC 60</w:t>
            </w:r>
          </w:p>
        </w:tc>
        <w:tc>
          <w:tcPr>
            <w:tcW w:w="3407" w:type="dxa"/>
          </w:tcPr>
          <w:p w14:paraId="7B1EDCE0" w14:textId="73083B19" w:rsidR="008A5E95" w:rsidRDefault="008A5E95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Application for declarations and orders under section 90-15 of Sch 2 to </w:t>
            </w:r>
            <w:r w:rsidRPr="006603B3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Corporations Act</w:t>
            </w: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and </w:t>
            </w:r>
            <w:r w:rsidRPr="006603B3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Mining Act</w:t>
            </w: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(</w:t>
            </w:r>
            <w:r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>led by SK Dharmananda SC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)</w:t>
            </w:r>
          </w:p>
        </w:tc>
      </w:tr>
      <w:tr w:rsidR="005C517B" w14:paraId="0706E4AF" w14:textId="77777777" w:rsidTr="001C0A4A">
        <w:tc>
          <w:tcPr>
            <w:tcW w:w="3119" w:type="dxa"/>
          </w:tcPr>
          <w:p w14:paraId="48552D4A" w14:textId="339F17E6" w:rsidR="005C517B" w:rsidRPr="009D07FF" w:rsidRDefault="008670A9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Friends of Australian Rock Art Inc v Whitby MLA</w:t>
            </w:r>
          </w:p>
        </w:tc>
        <w:tc>
          <w:tcPr>
            <w:tcW w:w="2546" w:type="dxa"/>
          </w:tcPr>
          <w:p w14:paraId="06B752F1" w14:textId="68EF3DDD" w:rsidR="005C517B" w:rsidRDefault="008670A9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[2026] WASC 145</w:t>
            </w:r>
          </w:p>
        </w:tc>
        <w:tc>
          <w:tcPr>
            <w:tcW w:w="3407" w:type="dxa"/>
          </w:tcPr>
          <w:p w14:paraId="41F59FF9" w14:textId="25C36BAC" w:rsidR="005C517B" w:rsidRDefault="00A145DC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Judicial review application</w:t>
            </w:r>
            <w:r w:rsidR="003B315F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– cross-vesting application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(</w:t>
            </w:r>
            <w:r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>led by SK Dharmananda SC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)</w:t>
            </w:r>
          </w:p>
        </w:tc>
      </w:tr>
      <w:tr w:rsidR="00A55791" w14:paraId="39E208D3" w14:textId="77777777" w:rsidTr="001C0A4A">
        <w:tc>
          <w:tcPr>
            <w:tcW w:w="3119" w:type="dxa"/>
          </w:tcPr>
          <w:p w14:paraId="11899151" w14:textId="56092AF2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9D07F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Kirkalocka </w:t>
            </w: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Gold SPV Pty Ltd </w:t>
            </w:r>
            <w:r w:rsidRPr="009D07F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&amp; Anor v SCL &amp; Anor</w:t>
            </w:r>
          </w:p>
        </w:tc>
        <w:tc>
          <w:tcPr>
            <w:tcW w:w="2546" w:type="dxa"/>
          </w:tcPr>
          <w:p w14:paraId="659884E0" w14:textId="38C15A36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[2025] FCA 1490</w:t>
            </w:r>
          </w:p>
        </w:tc>
        <w:tc>
          <w:tcPr>
            <w:tcW w:w="3407" w:type="dxa"/>
          </w:tcPr>
          <w:p w14:paraId="272E64E9" w14:textId="61056512" w:rsidR="006603B3" w:rsidRDefault="006813BB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Application for declarations and orders </w:t>
            </w:r>
            <w:r w:rsidR="006603B3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under section 90-15 of Sch 2 to </w:t>
            </w:r>
            <w:r w:rsidR="006603B3" w:rsidRPr="006603B3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Corporations Act</w:t>
            </w:r>
            <w:r w:rsidR="006603B3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 </w:t>
            </w:r>
            <w:r w:rsidR="006603B3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and </w:t>
            </w:r>
            <w:r w:rsidR="006603B3" w:rsidRPr="006603B3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Mining Act</w:t>
            </w:r>
            <w:r w:rsidR="006603B3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 </w:t>
            </w:r>
            <w:r w:rsidR="006603B3">
              <w:rPr>
                <w:rFonts w:ascii="Book Antiqua" w:eastAsiaTheme="minorHAnsi" w:hAnsi="Book Antiqua" w:cs="Athelas-Regular"/>
                <w:sz w:val="20"/>
                <w:szCs w:val="20"/>
              </w:rPr>
              <w:t>(</w:t>
            </w:r>
            <w:r w:rsidR="006603B3"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>led by SK Dharmananda SC</w:t>
            </w:r>
            <w:r w:rsidR="006603B3">
              <w:rPr>
                <w:rFonts w:ascii="Book Antiqua" w:eastAsiaTheme="minorHAnsi" w:hAnsi="Book Antiqua" w:cs="Athelas-Regular"/>
                <w:sz w:val="20"/>
                <w:szCs w:val="20"/>
              </w:rPr>
              <w:t>)</w:t>
            </w:r>
          </w:p>
        </w:tc>
      </w:tr>
      <w:tr w:rsidR="00A55791" w14:paraId="68C6908B" w14:textId="77777777" w:rsidTr="001C0A4A">
        <w:tc>
          <w:tcPr>
            <w:tcW w:w="3119" w:type="dxa"/>
          </w:tcPr>
          <w:p w14:paraId="2C0F9D5A" w14:textId="5031AC74" w:rsidR="00A55791" w:rsidRPr="000555A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C74AF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lastRenderedPageBreak/>
              <w:t>Kelly v Hilton</w:t>
            </w:r>
          </w:p>
        </w:tc>
        <w:tc>
          <w:tcPr>
            <w:tcW w:w="2546" w:type="dxa"/>
          </w:tcPr>
          <w:p w14:paraId="6E143FFD" w14:textId="56FA8FD1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Ongoing, includes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  <w:t>[No 5] [2024] WASC 343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</w:r>
            <w:r w:rsidRPr="00C74AF2">
              <w:rPr>
                <w:rFonts w:ascii="Book Antiqua" w:eastAsiaTheme="minorHAnsi" w:hAnsi="Book Antiqua" w:cs="Athelas-Regular"/>
                <w:sz w:val="20"/>
                <w:szCs w:val="20"/>
              </w:rPr>
              <w:t>[2021] WASC 369</w:t>
            </w:r>
          </w:p>
        </w:tc>
        <w:tc>
          <w:tcPr>
            <w:tcW w:w="3407" w:type="dxa"/>
          </w:tcPr>
          <w:p w14:paraId="00B9CD4F" w14:textId="77777777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Claims for misleading or deceptive conduct (led by S Penglis SC)</w:t>
            </w:r>
          </w:p>
          <w:p w14:paraId="716BB449" w14:textId="0DC51383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Motion for criminal contempt of court</w:t>
            </w:r>
          </w:p>
          <w:p w14:paraId="19E7B2E4" w14:textId="64904D11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Interlocutory – Application for summary judgment</w:t>
            </w:r>
          </w:p>
        </w:tc>
      </w:tr>
      <w:tr w:rsidR="00A55791" w14:paraId="13C5FBA8" w14:textId="77777777" w:rsidTr="001C0A4A">
        <w:tc>
          <w:tcPr>
            <w:tcW w:w="3119" w:type="dxa"/>
          </w:tcPr>
          <w:p w14:paraId="00729DF1" w14:textId="4ED78FE8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0555A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Palmer v CITIC Ltd</w:t>
            </w:r>
          </w:p>
        </w:tc>
        <w:tc>
          <w:tcPr>
            <w:tcW w:w="2546" w:type="dxa"/>
          </w:tcPr>
          <w:p w14:paraId="4821C9BB" w14:textId="311B2EE5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[No 17] [2025] WASC 224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  <w:t>[No 16] [2025] WASC 216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  <w:t>[No 15] [2025] WASC 202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</w:r>
            <w:r w:rsidRPr="009273A9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[No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14</w:t>
            </w:r>
            <w:r w:rsidRPr="009273A9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]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</w:t>
            </w:r>
            <w:r w:rsidRPr="009273A9">
              <w:rPr>
                <w:rFonts w:ascii="Book Antiqua" w:eastAsiaTheme="minorHAnsi" w:hAnsi="Book Antiqua" w:cs="Athelas-Regular"/>
                <w:sz w:val="20"/>
                <w:szCs w:val="20"/>
              </w:rPr>
              <w:t>202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4]</w:t>
            </w:r>
            <w:r w:rsidRPr="009273A9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WASC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341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  <w:t>[2024] WASC 486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  <w:t>[No 13] [2024] WASC 325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  <w:t>[No 12] [2024] WASC 322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</w:r>
            <w:r w:rsidRPr="009273A9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[No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11</w:t>
            </w:r>
            <w:r w:rsidRPr="009273A9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]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</w:t>
            </w:r>
            <w:r w:rsidRPr="009273A9">
              <w:rPr>
                <w:rFonts w:ascii="Book Antiqua" w:eastAsiaTheme="minorHAnsi" w:hAnsi="Book Antiqua" w:cs="Athelas-Regular"/>
                <w:sz w:val="20"/>
                <w:szCs w:val="20"/>
              </w:rPr>
              <w:t>202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4]</w:t>
            </w:r>
            <w:r w:rsidRPr="009273A9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WASC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210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  <w:t xml:space="preserve">[No 10] [2023] WASC 417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  <w:t>[No 9] [2023] WASC 238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  <w:t>[No 8] [2023] WASC 221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</w:r>
            <w:r w:rsidRPr="009273A9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[No 6]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</w:t>
            </w:r>
            <w:r w:rsidRPr="009273A9">
              <w:rPr>
                <w:rFonts w:ascii="Book Antiqua" w:eastAsiaTheme="minorHAnsi" w:hAnsi="Book Antiqua" w:cs="Athelas-Regular"/>
                <w:sz w:val="20"/>
                <w:szCs w:val="20"/>
              </w:rPr>
              <w:t>2023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]</w:t>
            </w:r>
            <w:r w:rsidRPr="009273A9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WASC 188</w:t>
            </w:r>
          </w:p>
        </w:tc>
        <w:tc>
          <w:tcPr>
            <w:tcW w:w="3407" w:type="dxa"/>
          </w:tcPr>
          <w:p w14:paraId="3D631308" w14:textId="77777777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Contract construction – </w:t>
            </w:r>
            <w:proofErr w:type="gramStart"/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indemnity </w:t>
            </w: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(</w:t>
            </w:r>
            <w:proofErr w:type="gramEnd"/>
            <w:r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led by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N Hutley SC, </w:t>
            </w:r>
            <w:r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>SK Dharmananda SC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, with JRC Sippe and JD Birch)</w:t>
            </w:r>
          </w:p>
          <w:p w14:paraId="5344DC58" w14:textId="34A4FA9B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Various interlocutory matters</w:t>
            </w:r>
          </w:p>
        </w:tc>
      </w:tr>
      <w:tr w:rsidR="00A55791" w14:paraId="093B789D" w14:textId="77777777" w:rsidTr="001C0A4A">
        <w:tc>
          <w:tcPr>
            <w:tcW w:w="3119" w:type="dxa"/>
          </w:tcPr>
          <w:p w14:paraId="4921C2C3" w14:textId="498EC1BA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Aquila Steel Pty Ltd v BHP Minerals Pty Ltd</w:t>
            </w:r>
          </w:p>
        </w:tc>
        <w:tc>
          <w:tcPr>
            <w:tcW w:w="2546" w:type="dxa"/>
          </w:tcPr>
          <w:p w14:paraId="2F399AFE" w14:textId="1388E9DC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[2024] WASC 250</w:t>
            </w:r>
          </w:p>
        </w:tc>
        <w:tc>
          <w:tcPr>
            <w:tcW w:w="3407" w:type="dxa"/>
          </w:tcPr>
          <w:p w14:paraId="4FFBC82E" w14:textId="048E0B5A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Proper construction of temporary reserve and issues affecting declaratory relief</w:t>
            </w:r>
          </w:p>
        </w:tc>
      </w:tr>
      <w:tr w:rsidR="00A55791" w14:paraId="7BECF1F2" w14:textId="77777777" w:rsidTr="001C0A4A">
        <w:tc>
          <w:tcPr>
            <w:tcW w:w="3119" w:type="dxa"/>
          </w:tcPr>
          <w:p w14:paraId="4108E007" w14:textId="2A272100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Cougar Metals NL (Subject to DOCA) v </w:t>
            </w:r>
            <w:proofErr w:type="spellStart"/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Richore</w:t>
            </w:r>
            <w:proofErr w:type="spellEnd"/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 Pty ltd </w:t>
            </w:r>
          </w:p>
        </w:tc>
        <w:tc>
          <w:tcPr>
            <w:tcW w:w="2546" w:type="dxa"/>
          </w:tcPr>
          <w:p w14:paraId="0C874BC8" w14:textId="53FEE41C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[2024] WASCA 36</w:t>
            </w:r>
          </w:p>
        </w:tc>
        <w:tc>
          <w:tcPr>
            <w:tcW w:w="3407" w:type="dxa"/>
          </w:tcPr>
          <w:p w14:paraId="3D72E5F6" w14:textId="4F8521AE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Proper construction of option agreement relating to mining lease (led by S Penglis SC)</w:t>
            </w:r>
          </w:p>
        </w:tc>
      </w:tr>
      <w:tr w:rsidR="00A55791" w14:paraId="22A6045A" w14:textId="77777777" w:rsidTr="001C0A4A">
        <w:tc>
          <w:tcPr>
            <w:tcW w:w="3119" w:type="dxa"/>
          </w:tcPr>
          <w:p w14:paraId="4866045F" w14:textId="7C85DCFE" w:rsidR="00A55791" w:rsidRPr="00374CA6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Cooper v NOPSEMA (No 2) </w:t>
            </w:r>
          </w:p>
        </w:tc>
        <w:tc>
          <w:tcPr>
            <w:tcW w:w="2546" w:type="dxa"/>
          </w:tcPr>
          <w:p w14:paraId="0CC29EFF" w14:textId="367BEF97" w:rsidR="00A55791" w:rsidRPr="00CC79DD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[2023] FCA 1158</w:t>
            </w:r>
          </w:p>
        </w:tc>
        <w:tc>
          <w:tcPr>
            <w:tcW w:w="3407" w:type="dxa"/>
          </w:tcPr>
          <w:p w14:paraId="215A5CC7" w14:textId="6925B009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Application for judicial review under ADJR Act (led by S Penglis SC, and later SK Dharmananda SC)</w:t>
            </w:r>
          </w:p>
        </w:tc>
      </w:tr>
      <w:tr w:rsidR="00A55791" w14:paraId="0D72BD25" w14:textId="77777777" w:rsidTr="001C0A4A">
        <w:tc>
          <w:tcPr>
            <w:tcW w:w="3119" w:type="dxa"/>
          </w:tcPr>
          <w:p w14:paraId="5A39B103" w14:textId="372A49DE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Ramsay Health Care Australia Pty Ltd v ANF Industrial Unition</w:t>
            </w:r>
          </w:p>
        </w:tc>
        <w:tc>
          <w:tcPr>
            <w:tcW w:w="2546" w:type="dxa"/>
          </w:tcPr>
          <w:p w14:paraId="72489B20" w14:textId="6B48D3DE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Settled 2024</w:t>
            </w:r>
          </w:p>
        </w:tc>
        <w:tc>
          <w:tcPr>
            <w:tcW w:w="3407" w:type="dxa"/>
          </w:tcPr>
          <w:p w14:paraId="66740F10" w14:textId="19C9AACA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Claim for misleading and deceptive conduct (led by J Arnott SC)</w:t>
            </w:r>
          </w:p>
        </w:tc>
      </w:tr>
      <w:tr w:rsidR="00A55791" w14:paraId="23A69B99" w14:textId="77777777" w:rsidTr="001C0A4A">
        <w:tc>
          <w:tcPr>
            <w:tcW w:w="3119" w:type="dxa"/>
          </w:tcPr>
          <w:p w14:paraId="2FD6F76D" w14:textId="66627E84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04556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MAEK Pty Ltd v Ibrahim</w:t>
            </w:r>
          </w:p>
        </w:tc>
        <w:tc>
          <w:tcPr>
            <w:tcW w:w="2546" w:type="dxa"/>
          </w:tcPr>
          <w:p w14:paraId="64DEEF61" w14:textId="55CA14C5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Settled 2023</w:t>
            </w:r>
          </w:p>
        </w:tc>
        <w:tc>
          <w:tcPr>
            <w:tcW w:w="3407" w:type="dxa"/>
          </w:tcPr>
          <w:p w14:paraId="579253D3" w14:textId="0D2F004D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Construction contracts dispute (led by G Donaldson SC)</w:t>
            </w:r>
          </w:p>
        </w:tc>
      </w:tr>
      <w:tr w:rsidR="00A55791" w14:paraId="69C5911B" w14:textId="77777777" w:rsidTr="001C0A4A">
        <w:tc>
          <w:tcPr>
            <w:tcW w:w="3119" w:type="dxa"/>
          </w:tcPr>
          <w:p w14:paraId="02291FEC" w14:textId="5FAB946C" w:rsidR="00A55791" w:rsidRPr="00CC79DD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CC79DD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Hordyk v Wanslea Family Services</w:t>
            </w:r>
          </w:p>
        </w:tc>
        <w:tc>
          <w:tcPr>
            <w:tcW w:w="2546" w:type="dxa"/>
          </w:tcPr>
          <w:p w14:paraId="7EBA5FF8" w14:textId="785C8B91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CC79DD">
              <w:rPr>
                <w:rFonts w:ascii="Book Antiqua" w:eastAsiaTheme="minorHAnsi" w:hAnsi="Book Antiqua" w:cs="Athelas-Regular"/>
                <w:sz w:val="20"/>
                <w:szCs w:val="20"/>
              </w:rPr>
              <w:t>[2022] WASAT 117</w:t>
            </w:r>
          </w:p>
        </w:tc>
        <w:tc>
          <w:tcPr>
            <w:tcW w:w="3407" w:type="dxa"/>
          </w:tcPr>
          <w:p w14:paraId="4F00B8FD" w14:textId="43372DB4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</w:t>
            </w:r>
            <w:r w:rsidRPr="00CC79DD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laim for contravention of the </w:t>
            </w:r>
            <w:r w:rsidRPr="00CC79DD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Equal Opportunity Act</w:t>
            </w:r>
            <w:r w:rsidRPr="00CC79DD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</w:t>
            </w:r>
            <w:r w:rsidRPr="00FB01B1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1984</w:t>
            </w:r>
            <w:r w:rsidRPr="00CC79DD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(led by S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 </w:t>
            </w:r>
            <w:r w:rsidRPr="00CC79DD">
              <w:rPr>
                <w:rFonts w:ascii="Book Antiqua" w:eastAsiaTheme="minorHAnsi" w:hAnsi="Book Antiqua" w:cs="Athelas-Regular"/>
                <w:sz w:val="20"/>
                <w:szCs w:val="20"/>
              </w:rPr>
              <w:t>Penglis SC, with C Russell)</w:t>
            </w:r>
          </w:p>
        </w:tc>
      </w:tr>
      <w:tr w:rsidR="00A55791" w14:paraId="18866108" w14:textId="77777777" w:rsidTr="001C0A4A">
        <w:tc>
          <w:tcPr>
            <w:tcW w:w="3119" w:type="dxa"/>
          </w:tcPr>
          <w:p w14:paraId="4803C12F" w14:textId="77777777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04556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Murray Riverside Pty Ltd v Toscana (WA) Ravenswood Estate Pty Ltd</w:t>
            </w:r>
          </w:p>
        </w:tc>
        <w:tc>
          <w:tcPr>
            <w:tcW w:w="2546" w:type="dxa"/>
          </w:tcPr>
          <w:p w14:paraId="53170A87" w14:textId="77777777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04556F">
              <w:rPr>
                <w:rFonts w:ascii="Book Antiqua" w:eastAsiaTheme="minorHAnsi" w:hAnsi="Book Antiqua" w:cs="Athelas-Regular"/>
                <w:sz w:val="20"/>
                <w:szCs w:val="20"/>
              </w:rPr>
              <w:t>[2022] WASCA 67</w:t>
            </w:r>
          </w:p>
        </w:tc>
        <w:tc>
          <w:tcPr>
            <w:tcW w:w="3407" w:type="dxa"/>
          </w:tcPr>
          <w:p w14:paraId="35FBD0CF" w14:textId="75345E94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Application to be released from </w:t>
            </w:r>
            <w:r w:rsidRPr="00170E5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Harman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obligation (led by B Dharmananda SC)</w:t>
            </w:r>
          </w:p>
        </w:tc>
      </w:tr>
      <w:tr w:rsidR="00A55791" w14:paraId="3B8A699A" w14:textId="77777777" w:rsidTr="001C0A4A">
        <w:tc>
          <w:tcPr>
            <w:tcW w:w="3119" w:type="dxa"/>
          </w:tcPr>
          <w:p w14:paraId="76451C7C" w14:textId="77777777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04556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Mineralogy Pty Ltd v Sino Iron Pty Ltd</w:t>
            </w:r>
          </w:p>
        </w:tc>
        <w:tc>
          <w:tcPr>
            <w:tcW w:w="2546" w:type="dxa"/>
          </w:tcPr>
          <w:p w14:paraId="5462C42C" w14:textId="77777777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04556F">
              <w:rPr>
                <w:rFonts w:ascii="Book Antiqua" w:eastAsiaTheme="minorHAnsi" w:hAnsi="Book Antiqua" w:cs="Athelas-Regular"/>
                <w:sz w:val="20"/>
                <w:szCs w:val="20"/>
              </w:rPr>
              <w:t>[2022] WASCA 26</w:t>
            </w:r>
          </w:p>
        </w:tc>
        <w:tc>
          <w:tcPr>
            <w:tcW w:w="3407" w:type="dxa"/>
          </w:tcPr>
          <w:p w14:paraId="6C0CA107" w14:textId="020878D0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Application to strike out (</w:t>
            </w:r>
            <w:r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>led by SK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 </w:t>
            </w:r>
            <w:r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>Dharmananda SC, with C W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ren)</w:t>
            </w:r>
          </w:p>
        </w:tc>
      </w:tr>
      <w:tr w:rsidR="00A55791" w14:paraId="779E9E8C" w14:textId="77777777" w:rsidTr="001C0A4A">
        <w:tc>
          <w:tcPr>
            <w:tcW w:w="3119" w:type="dxa"/>
          </w:tcPr>
          <w:p w14:paraId="5406D2CE" w14:textId="630B9075" w:rsidR="00A55791" w:rsidRPr="000555A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857BD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Blue Ribbon Mines Pty Ltd v Roy Hill Infrastructure Pty Ltd</w:t>
            </w:r>
          </w:p>
        </w:tc>
        <w:tc>
          <w:tcPr>
            <w:tcW w:w="2546" w:type="dxa"/>
          </w:tcPr>
          <w:p w14:paraId="24D200BB" w14:textId="60F018BF" w:rsidR="00A55791" w:rsidRPr="009273A9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857BDF">
              <w:rPr>
                <w:rFonts w:ascii="Book Antiqua" w:eastAsiaTheme="minorHAnsi" w:hAnsi="Book Antiqua" w:cs="Athelas-Regular"/>
                <w:sz w:val="20"/>
                <w:szCs w:val="20"/>
              </w:rPr>
              <w:t>[2022] WASC 362</w:t>
            </w:r>
          </w:p>
        </w:tc>
        <w:tc>
          <w:tcPr>
            <w:tcW w:w="3407" w:type="dxa"/>
          </w:tcPr>
          <w:p w14:paraId="2772BBE2" w14:textId="63B66615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Determination of stated case pursuant to </w:t>
            </w:r>
            <w:r w:rsidRPr="003D59DD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Mining Act</w:t>
            </w: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 1978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(</w:t>
            </w:r>
            <w:r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>led by SK Dharmananda SC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)</w:t>
            </w:r>
          </w:p>
        </w:tc>
      </w:tr>
      <w:tr w:rsidR="00A55791" w14:paraId="0B3DD020" w14:textId="77777777" w:rsidTr="001C0A4A">
        <w:tc>
          <w:tcPr>
            <w:tcW w:w="3119" w:type="dxa"/>
          </w:tcPr>
          <w:p w14:paraId="127B4EB5" w14:textId="77777777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0A7807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Roseland Capital Pty Ltd </w:t>
            </w: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v</w:t>
            </w:r>
            <w:r w:rsidRPr="000A7807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 Neometals Limited</w:t>
            </w:r>
          </w:p>
        </w:tc>
        <w:tc>
          <w:tcPr>
            <w:tcW w:w="2546" w:type="dxa"/>
          </w:tcPr>
          <w:p w14:paraId="1F872F73" w14:textId="64EE881E" w:rsidR="00A55791" w:rsidRPr="000B2537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Ongoing, includes </w:t>
            </w:r>
            <w:r w:rsidRPr="000B2537">
              <w:rPr>
                <w:rFonts w:ascii="Book Antiqua" w:eastAsiaTheme="minorHAnsi" w:hAnsi="Book Antiqua" w:cs="Athelas-Regular"/>
                <w:sz w:val="20"/>
                <w:szCs w:val="20"/>
              </w:rPr>
              <w:t>[2022] WASC 132</w:t>
            </w:r>
          </w:p>
        </w:tc>
        <w:tc>
          <w:tcPr>
            <w:tcW w:w="3407" w:type="dxa"/>
          </w:tcPr>
          <w:p w14:paraId="20342360" w14:textId="58B7BBFB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Interlocutory – Application to strike out (</w:t>
            </w:r>
            <w:r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>led by SK Dharmananda SC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)</w:t>
            </w:r>
          </w:p>
        </w:tc>
      </w:tr>
      <w:tr w:rsidR="00A55791" w14:paraId="68E74BD3" w14:textId="77777777" w:rsidTr="001C0A4A">
        <w:tc>
          <w:tcPr>
            <w:tcW w:w="3119" w:type="dxa"/>
          </w:tcPr>
          <w:p w14:paraId="5D662295" w14:textId="7A5E40D8" w:rsidR="00A55791" w:rsidRPr="000A7807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3D59DD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lastRenderedPageBreak/>
              <w:t>Milne Agrigroup Pty Ltd v Toovey</w:t>
            </w:r>
          </w:p>
        </w:tc>
        <w:tc>
          <w:tcPr>
            <w:tcW w:w="2546" w:type="dxa"/>
          </w:tcPr>
          <w:p w14:paraId="3249887E" w14:textId="174BFA92" w:rsidR="00A55791" w:rsidRPr="003A669E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3D59DD">
              <w:rPr>
                <w:rFonts w:ascii="Book Antiqua" w:eastAsiaTheme="minorHAnsi" w:hAnsi="Book Antiqua" w:cs="Athelas-Regular"/>
                <w:sz w:val="20"/>
                <w:szCs w:val="20"/>
              </w:rPr>
              <w:t>[2022] WASC 118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</w:r>
            <w:r w:rsidRPr="003D59DD">
              <w:rPr>
                <w:rFonts w:ascii="Book Antiqua" w:eastAsiaTheme="minorHAnsi" w:hAnsi="Book Antiqua" w:cs="Athelas-Regular"/>
                <w:sz w:val="20"/>
                <w:szCs w:val="20"/>
              </w:rPr>
              <w:t>[2022] WASC 11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9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br/>
            </w:r>
            <w:r w:rsidRPr="003D59DD">
              <w:rPr>
                <w:rFonts w:ascii="Book Antiqua" w:eastAsiaTheme="minorHAnsi" w:hAnsi="Book Antiqua" w:cs="Athelas-Regular"/>
                <w:sz w:val="20"/>
                <w:szCs w:val="20"/>
              </w:rPr>
              <w:t>[2022] WASC 1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20</w:t>
            </w:r>
          </w:p>
        </w:tc>
        <w:tc>
          <w:tcPr>
            <w:tcW w:w="3407" w:type="dxa"/>
          </w:tcPr>
          <w:p w14:paraId="4A0625DC" w14:textId="3BE22399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Obligations of confidence of former employee (led by S Penglis SC)</w:t>
            </w:r>
          </w:p>
        </w:tc>
      </w:tr>
      <w:tr w:rsidR="00A55791" w14:paraId="2B5168DF" w14:textId="77777777" w:rsidTr="001C0A4A">
        <w:tc>
          <w:tcPr>
            <w:tcW w:w="3119" w:type="dxa"/>
          </w:tcPr>
          <w:p w14:paraId="433ACF33" w14:textId="5539DE9F" w:rsidR="00A55791" w:rsidRPr="003D59DD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C74AF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Blue Ribbon Mines Pty Ltd v Roy Hill Infrastructure Pty Ltd &amp; Ors</w:t>
            </w:r>
          </w:p>
        </w:tc>
        <w:tc>
          <w:tcPr>
            <w:tcW w:w="2546" w:type="dxa"/>
          </w:tcPr>
          <w:p w14:paraId="422BB4AA" w14:textId="281E6FDA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C74AF2">
              <w:rPr>
                <w:rFonts w:ascii="Book Antiqua" w:eastAsiaTheme="minorHAnsi" w:hAnsi="Book Antiqua" w:cs="Athelas-Regular"/>
                <w:sz w:val="20"/>
                <w:szCs w:val="20"/>
              </w:rPr>
              <w:t>[2022] WAMW 3</w:t>
            </w:r>
          </w:p>
        </w:tc>
        <w:tc>
          <w:tcPr>
            <w:tcW w:w="3407" w:type="dxa"/>
          </w:tcPr>
          <w:p w14:paraId="21BEAF22" w14:textId="03A29AE6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Application for a stated case pursuant to </w:t>
            </w:r>
            <w:r w:rsidRPr="00C74AF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Mining </w:t>
            </w:r>
            <w:r w:rsidRPr="00C467B4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Act 1978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(</w:t>
            </w:r>
            <w:r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>led by SK Dharmananda SC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)</w:t>
            </w:r>
          </w:p>
        </w:tc>
      </w:tr>
      <w:tr w:rsidR="00A55791" w14:paraId="526385FB" w14:textId="77777777" w:rsidTr="001C0A4A">
        <w:tc>
          <w:tcPr>
            <w:tcW w:w="3119" w:type="dxa"/>
          </w:tcPr>
          <w:p w14:paraId="2FB9D32C" w14:textId="677F77B9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D90320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Venetian Nominees Pty Ltd v Weatherford Australia Pty Ltd </w:t>
            </w:r>
          </w:p>
        </w:tc>
        <w:tc>
          <w:tcPr>
            <w:tcW w:w="2546" w:type="dxa"/>
          </w:tcPr>
          <w:p w14:paraId="29EBA1BA" w14:textId="07EA9D0A" w:rsidR="00A55791" w:rsidRPr="00D90320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D90320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[2021] WASC 137 </w:t>
            </w:r>
          </w:p>
          <w:p w14:paraId="06E7013A" w14:textId="77777777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</w:p>
        </w:tc>
        <w:tc>
          <w:tcPr>
            <w:tcW w:w="3407" w:type="dxa"/>
          </w:tcPr>
          <w:p w14:paraId="6726B10F" w14:textId="22E6E02A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A</w:t>
            </w:r>
            <w:r w:rsidRPr="00AA0104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pplication brought under the </w:t>
            </w:r>
            <w:r w:rsidRPr="00AA0104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Commercial Arbitration Act 2012</w:t>
            </w:r>
            <w:r w:rsidRPr="00AA0104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to set aside an arbitral award </w:t>
            </w:r>
            <w:r w:rsidRPr="00D90320">
              <w:rPr>
                <w:rFonts w:ascii="Book Antiqua" w:eastAsiaTheme="minorHAnsi" w:hAnsi="Book Antiqua" w:cs="Athelas-Regular"/>
                <w:sz w:val="20"/>
                <w:szCs w:val="20"/>
              </w:rPr>
              <w:t>(led by M Howard SC)</w:t>
            </w:r>
          </w:p>
        </w:tc>
      </w:tr>
      <w:tr w:rsidR="00A55791" w14:paraId="05E9C0B8" w14:textId="77777777" w:rsidTr="001C0A4A">
        <w:tc>
          <w:tcPr>
            <w:tcW w:w="3119" w:type="dxa"/>
          </w:tcPr>
          <w:p w14:paraId="7AB25177" w14:textId="339BFD49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C74AF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Sino Iron Pty Ltd v Mineralogy Pty Ltd</w:t>
            </w:r>
          </w:p>
        </w:tc>
        <w:tc>
          <w:tcPr>
            <w:tcW w:w="2546" w:type="dxa"/>
          </w:tcPr>
          <w:p w14:paraId="25EC4D86" w14:textId="550E06A6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C74AF2">
              <w:rPr>
                <w:rFonts w:ascii="Book Antiqua" w:eastAsiaTheme="minorHAnsi" w:hAnsi="Book Antiqua" w:cs="Athelas-Regular"/>
                <w:sz w:val="20"/>
                <w:szCs w:val="20"/>
              </w:rPr>
              <w:t>[2021] WASC 442</w:t>
            </w:r>
          </w:p>
        </w:tc>
        <w:tc>
          <w:tcPr>
            <w:tcW w:w="3407" w:type="dxa"/>
          </w:tcPr>
          <w:p w14:paraId="7566DAEE" w14:textId="25EBA622" w:rsidR="00A55791" w:rsidRPr="0004556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Interlocutory – Application for discovery and legal professional privilege (</w:t>
            </w:r>
            <w:r w:rsidRPr="000555A2">
              <w:rPr>
                <w:rFonts w:ascii="Book Antiqua" w:eastAsiaTheme="minorHAnsi" w:hAnsi="Book Antiqua" w:cs="Athelas-Regular"/>
                <w:sz w:val="20"/>
                <w:szCs w:val="20"/>
              </w:rPr>
              <w:t>led by SK Dharmananda SC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)</w:t>
            </w:r>
          </w:p>
        </w:tc>
      </w:tr>
      <w:tr w:rsidR="00A55791" w14:paraId="4A09C3E2" w14:textId="77777777" w:rsidTr="001C0A4A">
        <w:trPr>
          <w:trHeight w:val="840"/>
        </w:trPr>
        <w:tc>
          <w:tcPr>
            <w:tcW w:w="3119" w:type="dxa"/>
          </w:tcPr>
          <w:p w14:paraId="69A11A7D" w14:textId="50DDDB64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C74AF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Continental Coal Limited (In </w:t>
            </w:r>
            <w:proofErr w:type="spellStart"/>
            <w:r w:rsidRPr="00C74AF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Liq</w:t>
            </w:r>
            <w:proofErr w:type="spellEnd"/>
            <w:r w:rsidRPr="00C74AF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) v Landau &amp; Ors </w:t>
            </w:r>
          </w:p>
        </w:tc>
        <w:tc>
          <w:tcPr>
            <w:tcW w:w="2546" w:type="dxa"/>
          </w:tcPr>
          <w:p w14:paraId="6482193B" w14:textId="3EAD060F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June 2021 – </w:t>
            </w:r>
            <w:r w:rsidRPr="002A5801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Ex tempore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judgment</w:t>
            </w:r>
          </w:p>
        </w:tc>
        <w:tc>
          <w:tcPr>
            <w:tcW w:w="3407" w:type="dxa"/>
          </w:tcPr>
          <w:p w14:paraId="6E0ED4E2" w14:textId="3E02FD58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Interlocutory – </w:t>
            </w:r>
            <w:r w:rsidRPr="00441056">
              <w:rPr>
                <w:rFonts w:ascii="Book Antiqua" w:eastAsiaTheme="minorHAnsi" w:hAnsi="Book Antiqua" w:cs="Athelas-Regular"/>
                <w:sz w:val="20"/>
                <w:szCs w:val="20"/>
              </w:rPr>
              <w:t>Application to strike out</w:t>
            </w:r>
            <w:r w:rsidRPr="00C74AF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 </w:t>
            </w:r>
            <w:r w:rsidRPr="00C74AF2">
              <w:rPr>
                <w:rFonts w:ascii="Book Antiqua" w:eastAsiaTheme="minorHAnsi" w:hAnsi="Book Antiqua" w:cs="Athelas-Regular"/>
                <w:sz w:val="20"/>
                <w:szCs w:val="20"/>
              </w:rPr>
              <w:t>(led by M Howard SC)</w:t>
            </w:r>
          </w:p>
        </w:tc>
      </w:tr>
      <w:tr w:rsidR="00A55791" w14:paraId="4F2D2CF1" w14:textId="77777777" w:rsidTr="001C0A4A">
        <w:tc>
          <w:tcPr>
            <w:tcW w:w="3119" w:type="dxa"/>
          </w:tcPr>
          <w:p w14:paraId="4365D8C8" w14:textId="78FC18E9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8B2660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JKC Australia LNG Pty Ltd v AkzoNobel NV &amp; Anor</w:t>
            </w:r>
          </w:p>
        </w:tc>
        <w:tc>
          <w:tcPr>
            <w:tcW w:w="2546" w:type="dxa"/>
          </w:tcPr>
          <w:p w14:paraId="353A4840" w14:textId="4ECA2B00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Settled 2021</w:t>
            </w:r>
          </w:p>
        </w:tc>
        <w:tc>
          <w:tcPr>
            <w:tcW w:w="3407" w:type="dxa"/>
          </w:tcPr>
          <w:p w14:paraId="17F28D8E" w14:textId="7D29AC23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Interlocutory – </w:t>
            </w:r>
            <w:r>
              <w:rPr>
                <w:rFonts w:ascii="Book Antiqua" w:eastAsiaTheme="minorHAnsi" w:hAnsi="Book Antiqua" w:cs="Athelas-Regular"/>
                <w:sz w:val="20"/>
                <w:szCs w:val="20"/>
                <w:lang w:val="en-US"/>
              </w:rPr>
              <w:t>A</w:t>
            </w:r>
            <w:r w:rsidRPr="00E154AE">
              <w:rPr>
                <w:rFonts w:ascii="Book Antiqua" w:eastAsiaTheme="minorHAnsi" w:hAnsi="Book Antiqua" w:cs="Athelas-Regular"/>
                <w:sz w:val="20"/>
                <w:szCs w:val="20"/>
                <w:lang w:val="en-US"/>
              </w:rPr>
              <w:t>pplication to set aside a subpoena</w:t>
            </w:r>
            <w:r>
              <w:rPr>
                <w:rFonts w:ascii="Book Antiqua" w:eastAsiaTheme="minorHAnsi" w:hAnsi="Book Antiqua" w:cs="Athelas-Regular"/>
                <w:sz w:val="20"/>
                <w:szCs w:val="20"/>
                <w:lang w:val="en-US"/>
              </w:rPr>
              <w:t xml:space="preserve"> (led by JK Taylor SC)</w:t>
            </w:r>
          </w:p>
        </w:tc>
      </w:tr>
      <w:tr w:rsidR="00A55791" w14:paraId="3961C472" w14:textId="77777777" w:rsidTr="001C0A4A">
        <w:tc>
          <w:tcPr>
            <w:tcW w:w="3119" w:type="dxa"/>
          </w:tcPr>
          <w:p w14:paraId="4A96CF80" w14:textId="15772149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C74AF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Habrok (Dalgaranga) Pty Ltd v Gascoyne Resources Ltd</w:t>
            </w:r>
          </w:p>
        </w:tc>
        <w:tc>
          <w:tcPr>
            <w:tcW w:w="2546" w:type="dxa"/>
          </w:tcPr>
          <w:p w14:paraId="16A333A0" w14:textId="4487C709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C74AF2">
              <w:rPr>
                <w:rFonts w:ascii="Book Antiqua" w:eastAsiaTheme="minorHAnsi" w:hAnsi="Book Antiqua" w:cs="Athelas-Regular"/>
                <w:sz w:val="20"/>
                <w:szCs w:val="20"/>
              </w:rPr>
              <w:t>[2020] FCA 1395</w:t>
            </w:r>
          </w:p>
        </w:tc>
        <w:tc>
          <w:tcPr>
            <w:tcW w:w="3407" w:type="dxa"/>
          </w:tcPr>
          <w:p w14:paraId="0E00379A" w14:textId="7DFE9704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A</w:t>
            </w:r>
            <w:r w:rsidRPr="008E39EF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pplication under ss 445D and 447A of the </w:t>
            </w:r>
            <w:r w:rsidRPr="008E39E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Corporations Act </w:t>
            </w:r>
            <w:r w:rsidRPr="008E39EF">
              <w:rPr>
                <w:rFonts w:ascii="Book Antiqua" w:eastAsiaTheme="minorHAnsi" w:hAnsi="Book Antiqua" w:cs="Athelas-Regular"/>
                <w:sz w:val="20"/>
                <w:szCs w:val="20"/>
              </w:rPr>
              <w:t>to terminate a deed of company arrangement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(led by </w:t>
            </w:r>
            <w:r w:rsidRPr="00C74AF2">
              <w:rPr>
                <w:rFonts w:ascii="Book Antiqua" w:eastAsiaTheme="minorHAnsi" w:hAnsi="Book Antiqua" w:cs="Athelas-Regular"/>
                <w:sz w:val="20"/>
                <w:szCs w:val="20"/>
              </w:rPr>
              <w:t>B Dharmananda SC, with P Walker and S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 </w:t>
            </w:r>
            <w:r w:rsidRPr="00C74AF2">
              <w:rPr>
                <w:rFonts w:ascii="Book Antiqua" w:eastAsiaTheme="minorHAnsi" w:hAnsi="Book Antiqua" w:cs="Athelas-Regular"/>
                <w:sz w:val="20"/>
                <w:szCs w:val="20"/>
              </w:rPr>
              <w:t>Tomasich)</w:t>
            </w:r>
          </w:p>
        </w:tc>
      </w:tr>
      <w:tr w:rsidR="00A55791" w14:paraId="74B815C2" w14:textId="77777777" w:rsidTr="001C0A4A">
        <w:tc>
          <w:tcPr>
            <w:tcW w:w="3119" w:type="dxa"/>
          </w:tcPr>
          <w:p w14:paraId="4540FAEE" w14:textId="0B73BA6E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C74AF2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Banfield and Banfield </w:t>
            </w:r>
          </w:p>
        </w:tc>
        <w:tc>
          <w:tcPr>
            <w:tcW w:w="2546" w:type="dxa"/>
          </w:tcPr>
          <w:p w14:paraId="68E7479D" w14:textId="71C3B5BF" w:rsidR="00A55791" w:rsidRPr="008E39EF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8E39EF">
              <w:rPr>
                <w:rFonts w:ascii="Book Antiqua" w:eastAsiaTheme="minorHAnsi" w:hAnsi="Book Antiqua" w:cs="Athelas-Regular"/>
                <w:sz w:val="20"/>
                <w:szCs w:val="20"/>
              </w:rPr>
              <w:t>[2020] FCWA 116</w:t>
            </w:r>
          </w:p>
        </w:tc>
        <w:tc>
          <w:tcPr>
            <w:tcW w:w="3407" w:type="dxa"/>
          </w:tcPr>
          <w:p w14:paraId="0BB332FF" w14:textId="35541719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A</w:t>
            </w:r>
            <w:r w:rsidRPr="008E39EF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pplication to restrain solicitors from acting in proceedings </w:t>
            </w: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(led by S Penglis SC)</w:t>
            </w:r>
          </w:p>
        </w:tc>
      </w:tr>
      <w:tr w:rsidR="00A55791" w14:paraId="5A79A427" w14:textId="77777777" w:rsidTr="001C0A4A">
        <w:tc>
          <w:tcPr>
            <w:tcW w:w="3119" w:type="dxa"/>
          </w:tcPr>
          <w:p w14:paraId="243CDC58" w14:textId="631852F8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B07EA0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Siconal Ltd v DO &amp; Ors</w:t>
            </w:r>
          </w:p>
        </w:tc>
        <w:tc>
          <w:tcPr>
            <w:tcW w:w="2546" w:type="dxa"/>
          </w:tcPr>
          <w:p w14:paraId="4DDDD883" w14:textId="2F10D9D9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Settled 2022</w:t>
            </w:r>
          </w:p>
        </w:tc>
        <w:tc>
          <w:tcPr>
            <w:tcW w:w="3407" w:type="dxa"/>
          </w:tcPr>
          <w:p w14:paraId="52C7EA70" w14:textId="504EB889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Contract construction – loan agreement; Equity; Consumer Law</w:t>
            </w:r>
            <w:r w:rsidR="00ED691C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</w:t>
            </w:r>
            <w:r w:rsidR="00ED691C" w:rsidRPr="005C3C60">
              <w:rPr>
                <w:rFonts w:ascii="Book Antiqua" w:eastAsiaTheme="minorHAnsi" w:hAnsi="Book Antiqua" w:cs="Athelas-Regular"/>
                <w:sz w:val="20"/>
                <w:szCs w:val="20"/>
              </w:rPr>
              <w:t>(led by S Penglis SC)</w:t>
            </w:r>
          </w:p>
        </w:tc>
      </w:tr>
      <w:tr w:rsidR="00A55791" w14:paraId="47ECA4EC" w14:textId="77777777" w:rsidTr="001C0A4A">
        <w:tc>
          <w:tcPr>
            <w:tcW w:w="3119" w:type="dxa"/>
          </w:tcPr>
          <w:p w14:paraId="258F1B75" w14:textId="275BEE8E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E154AE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Venus Metals Corporation Ltd v DJ Carmichael Pty Ltd &amp; Anor</w:t>
            </w:r>
          </w:p>
        </w:tc>
        <w:tc>
          <w:tcPr>
            <w:tcW w:w="2546" w:type="dxa"/>
          </w:tcPr>
          <w:p w14:paraId="7E1D1FA8" w14:textId="41D53A5B" w:rsidR="00A55791" w:rsidRPr="00C74AF2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Settled 2020</w:t>
            </w:r>
          </w:p>
        </w:tc>
        <w:tc>
          <w:tcPr>
            <w:tcW w:w="3407" w:type="dxa"/>
          </w:tcPr>
          <w:p w14:paraId="3E546D29" w14:textId="5A9E6EA8" w:rsidR="00A55791" w:rsidRDefault="00A55791" w:rsidP="00A55791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</w:t>
            </w:r>
            <w:r w:rsidRPr="005C3C60">
              <w:rPr>
                <w:rFonts w:ascii="Book Antiqua" w:eastAsiaTheme="minorHAnsi" w:hAnsi="Book Antiqua" w:cs="Athelas-Regular"/>
                <w:sz w:val="20"/>
                <w:szCs w:val="20"/>
              </w:rPr>
              <w:t>laims in Equity in relation to the acquisition by Spectrum Metals Limited of the Penny West gold mine (led by S Penglis SC)</w:t>
            </w:r>
          </w:p>
        </w:tc>
      </w:tr>
    </w:tbl>
    <w:p w14:paraId="66F4D151" w14:textId="11684D34" w:rsidR="00E20734" w:rsidRDefault="00E20734" w:rsidP="00D42819">
      <w:pPr>
        <w:keepNext/>
        <w:keepLines/>
        <w:autoSpaceDE w:val="0"/>
        <w:autoSpaceDN w:val="0"/>
        <w:adjustRightInd w:val="0"/>
        <w:spacing w:before="120" w:after="120" w:line="276" w:lineRule="auto"/>
        <w:rPr>
          <w:rFonts w:ascii="Book Antiqua" w:eastAsiaTheme="minorHAnsi" w:hAnsi="Book Antiqua" w:cs="Athelas-Regular"/>
          <w:b/>
          <w:bCs/>
        </w:rPr>
      </w:pPr>
      <w:r>
        <w:rPr>
          <w:rFonts w:ascii="Book Antiqua" w:eastAsiaTheme="minorHAnsi" w:hAnsi="Book Antiqua" w:cs="Athelas-Regular"/>
          <w:b/>
          <w:bCs/>
        </w:rPr>
        <w:t>Selected experience prior to 2020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404"/>
        <w:gridCol w:w="3407"/>
      </w:tblGrid>
      <w:tr w:rsidR="00D42819" w14:paraId="183F5842" w14:textId="77777777" w:rsidTr="000F22CF">
        <w:tc>
          <w:tcPr>
            <w:tcW w:w="3261" w:type="dxa"/>
          </w:tcPr>
          <w:p w14:paraId="590EEDB6" w14:textId="5C913D58" w:rsidR="00E20734" w:rsidRPr="0004556F" w:rsidRDefault="00E20734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E20734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Groote Eylandt Mining Company Pty Ltd v Secretary for Mineral Royalties (NT) </w:t>
            </w:r>
          </w:p>
        </w:tc>
        <w:tc>
          <w:tcPr>
            <w:tcW w:w="2404" w:type="dxa"/>
          </w:tcPr>
          <w:p w14:paraId="2CC23E6D" w14:textId="409AEC3C" w:rsidR="00E20734" w:rsidRPr="00E20734" w:rsidRDefault="00E20734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E20734">
              <w:rPr>
                <w:rFonts w:ascii="Book Antiqua" w:eastAsiaTheme="minorHAnsi" w:hAnsi="Book Antiqua" w:cs="Athelas-Regular"/>
                <w:sz w:val="20"/>
                <w:szCs w:val="20"/>
              </w:rPr>
              <w:t>[2019] NTSC 58</w:t>
            </w:r>
          </w:p>
        </w:tc>
        <w:tc>
          <w:tcPr>
            <w:tcW w:w="3407" w:type="dxa"/>
          </w:tcPr>
          <w:p w14:paraId="32E1B73C" w14:textId="4DF6D11E" w:rsidR="00E20734" w:rsidRPr="0004556F" w:rsidRDefault="00E20734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</w:t>
            </w:r>
            <w:r w:rsidRPr="00E20734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laim regarding a royalty payable under the </w:t>
            </w:r>
            <w:r w:rsidRPr="00E20734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Mineral Royalty Act (NT)</w:t>
            </w:r>
          </w:p>
        </w:tc>
      </w:tr>
      <w:tr w:rsidR="00D42819" w14:paraId="45457372" w14:textId="77777777" w:rsidTr="000F22CF">
        <w:tc>
          <w:tcPr>
            <w:tcW w:w="3261" w:type="dxa"/>
          </w:tcPr>
          <w:p w14:paraId="51299F30" w14:textId="73AF495E" w:rsidR="00E20734" w:rsidRPr="0004556F" w:rsidRDefault="00E20734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E20734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Goldfields Gas Transmission Pty Ltd v ERA &amp; BHP Billiton </w:t>
            </w:r>
          </w:p>
        </w:tc>
        <w:tc>
          <w:tcPr>
            <w:tcW w:w="2404" w:type="dxa"/>
          </w:tcPr>
          <w:p w14:paraId="44CCCBA7" w14:textId="2B3F5A1A" w:rsidR="00E20734" w:rsidRPr="0004556F" w:rsidRDefault="00E20734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E20734">
              <w:rPr>
                <w:rFonts w:ascii="Book Antiqua" w:eastAsiaTheme="minorHAnsi" w:hAnsi="Book Antiqua" w:cs="Athelas-Regular"/>
                <w:sz w:val="20"/>
                <w:szCs w:val="20"/>
              </w:rPr>
              <w:t>[2018] WASC 104</w:t>
            </w:r>
          </w:p>
        </w:tc>
        <w:tc>
          <w:tcPr>
            <w:tcW w:w="3407" w:type="dxa"/>
          </w:tcPr>
          <w:p w14:paraId="7FADAFFD" w14:textId="7F086DFA" w:rsidR="00E20734" w:rsidRPr="0004556F" w:rsidRDefault="00D35A8F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J</w:t>
            </w:r>
            <w:r w:rsidRPr="00D35A8F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udicial review proceedings commenced by Goldfields Gas Transmission under the </w:t>
            </w:r>
            <w:r w:rsidRPr="00D35A8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National Gas Law</w:t>
            </w:r>
          </w:p>
        </w:tc>
      </w:tr>
      <w:tr w:rsidR="00D35A8F" w14:paraId="1EA97DFA" w14:textId="77777777" w:rsidTr="000F22CF">
        <w:tc>
          <w:tcPr>
            <w:tcW w:w="3261" w:type="dxa"/>
          </w:tcPr>
          <w:p w14:paraId="5C2595D6" w14:textId="255CA8E5" w:rsidR="00D35A8F" w:rsidRPr="00E20734" w:rsidRDefault="00D35A8F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D35A8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lastRenderedPageBreak/>
              <w:t xml:space="preserve">Woodside Energy Ltd v Electricity Generation and Retail Corporation, t/as Synergy </w:t>
            </w:r>
          </w:p>
        </w:tc>
        <w:tc>
          <w:tcPr>
            <w:tcW w:w="2404" w:type="dxa"/>
          </w:tcPr>
          <w:p w14:paraId="28F2114E" w14:textId="6EC81DD3" w:rsidR="00D35A8F" w:rsidRPr="00D35A8F" w:rsidRDefault="00D35A8F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D35A8F">
              <w:rPr>
                <w:rFonts w:ascii="Book Antiqua" w:eastAsiaTheme="minorHAnsi" w:hAnsi="Book Antiqua" w:cs="Athelas-Regular"/>
                <w:sz w:val="20"/>
                <w:szCs w:val="20"/>
              </w:rPr>
              <w:t>[2015] WASC 397</w:t>
            </w:r>
          </w:p>
        </w:tc>
        <w:tc>
          <w:tcPr>
            <w:tcW w:w="3407" w:type="dxa"/>
          </w:tcPr>
          <w:p w14:paraId="698E99A7" w14:textId="504D92B1" w:rsidR="00D35A8F" w:rsidRDefault="00D35A8F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</w:t>
            </w:r>
            <w:r w:rsidRPr="00D35A8F">
              <w:rPr>
                <w:rFonts w:ascii="Book Antiqua" w:eastAsiaTheme="minorHAnsi" w:hAnsi="Book Antiqua" w:cs="Athelas-Regular"/>
                <w:sz w:val="20"/>
                <w:szCs w:val="20"/>
              </w:rPr>
              <w:t>ontractual construction and pricing dispute under a long-term gas sale and purchase agreement</w:t>
            </w:r>
          </w:p>
        </w:tc>
      </w:tr>
      <w:tr w:rsidR="00D42819" w14:paraId="3D12382E" w14:textId="77777777" w:rsidTr="000F22CF">
        <w:tc>
          <w:tcPr>
            <w:tcW w:w="3261" w:type="dxa"/>
          </w:tcPr>
          <w:p w14:paraId="146AC40B" w14:textId="13FDF58E" w:rsidR="00E20734" w:rsidRPr="0004556F" w:rsidRDefault="00D35A8F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D35A8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ACCC v Metcash Trading Ltd</w:t>
            </w:r>
            <w:r w:rsidRPr="00D35A8F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</w:t>
            </w:r>
          </w:p>
        </w:tc>
        <w:tc>
          <w:tcPr>
            <w:tcW w:w="2404" w:type="dxa"/>
          </w:tcPr>
          <w:p w14:paraId="5EEF957D" w14:textId="10C21038" w:rsidR="00E20734" w:rsidRPr="0004556F" w:rsidRDefault="00D35A8F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D35A8F">
              <w:rPr>
                <w:rFonts w:ascii="Book Antiqua" w:eastAsiaTheme="minorHAnsi" w:hAnsi="Book Antiqua" w:cs="Athelas-Regular"/>
                <w:sz w:val="20"/>
                <w:szCs w:val="20"/>
              </w:rPr>
              <w:t>(2011) 198 FCR 297</w:t>
            </w:r>
          </w:p>
        </w:tc>
        <w:tc>
          <w:tcPr>
            <w:tcW w:w="3407" w:type="dxa"/>
          </w:tcPr>
          <w:p w14:paraId="2846BECB" w14:textId="54377F35" w:rsidR="00E20734" w:rsidRPr="0004556F" w:rsidRDefault="00D35A8F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D35A8F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Defending proceedings commenced by the ACCC for an injunction restraining an acquisition under section 50 of the </w:t>
            </w:r>
            <w:r w:rsidRPr="00D35A8F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Trade Practices Ac</w:t>
            </w:r>
            <w:r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t</w:t>
            </w:r>
          </w:p>
        </w:tc>
      </w:tr>
      <w:tr w:rsidR="00E20734" w14:paraId="71B93954" w14:textId="77777777" w:rsidTr="000F22CF">
        <w:tc>
          <w:tcPr>
            <w:tcW w:w="3261" w:type="dxa"/>
          </w:tcPr>
          <w:p w14:paraId="784FE9CA" w14:textId="77777777" w:rsidR="00E20734" w:rsidRDefault="00313A53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313A53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Grimaldi v Chameleon Mining NL (No 2)</w:t>
            </w:r>
          </w:p>
          <w:p w14:paraId="7F020CA8" w14:textId="08A958CF" w:rsidR="00313A53" w:rsidRPr="000555A2" w:rsidRDefault="00313A53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313A53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Chameleon Mining NL v Murchison Metals Limited </w:t>
            </w:r>
          </w:p>
        </w:tc>
        <w:tc>
          <w:tcPr>
            <w:tcW w:w="2404" w:type="dxa"/>
          </w:tcPr>
          <w:p w14:paraId="7B90C17D" w14:textId="77777777" w:rsidR="00E20734" w:rsidRDefault="00313A53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313A53">
              <w:rPr>
                <w:rFonts w:ascii="Book Antiqua" w:eastAsiaTheme="minorHAnsi" w:hAnsi="Book Antiqua" w:cs="Athelas-Regular"/>
                <w:sz w:val="20"/>
                <w:szCs w:val="20"/>
              </w:rPr>
              <w:t>(2012) 200 FCR 296</w:t>
            </w:r>
          </w:p>
          <w:p w14:paraId="0CAC81F8" w14:textId="63C0C188" w:rsidR="00313A53" w:rsidRPr="00313A53" w:rsidRDefault="00313A53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313A53">
              <w:rPr>
                <w:rFonts w:ascii="Book Antiqua" w:eastAsiaTheme="minorHAnsi" w:hAnsi="Book Antiqua" w:cs="Athelas-Regular"/>
                <w:sz w:val="20"/>
                <w:szCs w:val="20"/>
              </w:rPr>
              <w:t>[2010] FCA 1129</w:t>
            </w:r>
          </w:p>
        </w:tc>
        <w:tc>
          <w:tcPr>
            <w:tcW w:w="3407" w:type="dxa"/>
          </w:tcPr>
          <w:p w14:paraId="5102C12A" w14:textId="61D677B9" w:rsidR="00E20734" w:rsidRDefault="00D42819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C</w:t>
            </w:r>
            <w:r w:rsidR="00313A53" w:rsidRPr="00313A53">
              <w:rPr>
                <w:rFonts w:ascii="Book Antiqua" w:eastAsiaTheme="minorHAnsi" w:hAnsi="Book Antiqua" w:cs="Athelas-Regular"/>
                <w:sz w:val="20"/>
                <w:szCs w:val="20"/>
              </w:rPr>
              <w:t>laims for breach of directors’ duties and in Equity in relation to interests held in the Oakajee port and rail project in Western Australia</w:t>
            </w:r>
          </w:p>
        </w:tc>
      </w:tr>
      <w:tr w:rsidR="00D42819" w14:paraId="108F4FD4" w14:textId="77777777" w:rsidTr="000F22CF">
        <w:tc>
          <w:tcPr>
            <w:tcW w:w="3261" w:type="dxa"/>
          </w:tcPr>
          <w:p w14:paraId="69D939E2" w14:textId="120BE287" w:rsidR="00E20734" w:rsidRPr="0004556F" w:rsidRDefault="00CC581B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CC581B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ICAC Investigation re </w:t>
            </w:r>
            <w:r w:rsidRPr="00CC581B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Operation Spector</w:t>
            </w:r>
          </w:p>
        </w:tc>
        <w:tc>
          <w:tcPr>
            <w:tcW w:w="2404" w:type="dxa"/>
          </w:tcPr>
          <w:p w14:paraId="4D8E825F" w14:textId="59CF3FE0" w:rsidR="00E20734" w:rsidRPr="0004556F" w:rsidRDefault="00CC581B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CC581B">
              <w:rPr>
                <w:rFonts w:ascii="Book Antiqua" w:eastAsiaTheme="minorHAnsi" w:hAnsi="Book Antiqua" w:cs="Athelas-Regular"/>
                <w:sz w:val="20"/>
                <w:szCs w:val="20"/>
              </w:rPr>
              <w:t>October 2014</w:t>
            </w:r>
          </w:p>
        </w:tc>
        <w:tc>
          <w:tcPr>
            <w:tcW w:w="3407" w:type="dxa"/>
          </w:tcPr>
          <w:p w14:paraId="6F2C463C" w14:textId="7BBBEC77" w:rsidR="00E20734" w:rsidRPr="0004556F" w:rsidRDefault="00CC581B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I</w:t>
            </w:r>
            <w:r w:rsidR="00177630">
              <w:rPr>
                <w:rFonts w:ascii="Book Antiqua" w:eastAsiaTheme="minorHAnsi" w:hAnsi="Book Antiqua" w:cs="Athelas-Regular"/>
                <w:sz w:val="20"/>
                <w:szCs w:val="20"/>
              </w:rPr>
              <w:t>nvestigation i</w:t>
            </w:r>
            <w:r w:rsidRPr="00CC581B">
              <w:rPr>
                <w:rFonts w:ascii="Book Antiqua" w:eastAsiaTheme="minorHAnsi" w:hAnsi="Book Antiqua" w:cs="Athelas-Regular"/>
                <w:sz w:val="20"/>
                <w:szCs w:val="20"/>
              </w:rPr>
              <w:t>nto the conduct a Railcorp Manager and a Housing NSW Employee</w:t>
            </w:r>
          </w:p>
        </w:tc>
      </w:tr>
      <w:tr w:rsidR="00CC581B" w14:paraId="60B03F67" w14:textId="77777777" w:rsidTr="000F22CF">
        <w:tc>
          <w:tcPr>
            <w:tcW w:w="3261" w:type="dxa"/>
          </w:tcPr>
          <w:p w14:paraId="4811C5B2" w14:textId="190E4FA8" w:rsidR="00CC581B" w:rsidRPr="0004556F" w:rsidRDefault="00177630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177630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ICAC Investigation re </w:t>
            </w:r>
            <w:r w:rsidRPr="00177630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 xml:space="preserve">Operation </w:t>
            </w:r>
            <w:proofErr w:type="spellStart"/>
            <w:r w:rsidRPr="00177630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Tilga</w:t>
            </w:r>
            <w:proofErr w:type="spellEnd"/>
          </w:p>
        </w:tc>
        <w:tc>
          <w:tcPr>
            <w:tcW w:w="2404" w:type="dxa"/>
          </w:tcPr>
          <w:p w14:paraId="6CDA1554" w14:textId="761DE56A" w:rsidR="00CC581B" w:rsidRPr="0004556F" w:rsidRDefault="00177630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177630">
              <w:rPr>
                <w:rFonts w:ascii="Book Antiqua" w:eastAsiaTheme="minorHAnsi" w:hAnsi="Book Antiqua" w:cs="Athelas-Regular"/>
                <w:sz w:val="20"/>
                <w:szCs w:val="20"/>
              </w:rPr>
              <w:t>September 2013</w:t>
            </w:r>
          </w:p>
        </w:tc>
        <w:tc>
          <w:tcPr>
            <w:tcW w:w="3407" w:type="dxa"/>
          </w:tcPr>
          <w:p w14:paraId="0571254A" w14:textId="736B7F86" w:rsidR="00CC581B" w:rsidRPr="0004556F" w:rsidRDefault="00177630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Investigation </w:t>
            </w:r>
            <w:r w:rsidRPr="00177630">
              <w:rPr>
                <w:rFonts w:ascii="Book Antiqua" w:eastAsiaTheme="minorHAnsi" w:hAnsi="Book Antiqua" w:cs="Athelas-Regular"/>
                <w:sz w:val="20"/>
                <w:szCs w:val="20"/>
              </w:rPr>
              <w:t>into allegations of corrupt conduct in the provision of security products and services by suppliers, installers and consultants</w:t>
            </w:r>
          </w:p>
        </w:tc>
      </w:tr>
      <w:tr w:rsidR="00CC581B" w14:paraId="178436BC" w14:textId="77777777" w:rsidTr="000F22CF">
        <w:tc>
          <w:tcPr>
            <w:tcW w:w="3261" w:type="dxa"/>
          </w:tcPr>
          <w:p w14:paraId="647D431C" w14:textId="115BA4EF" w:rsidR="00CC581B" w:rsidRPr="0004556F" w:rsidRDefault="00177630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177630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ICAC Investigation re </w:t>
            </w:r>
            <w:r w:rsidRPr="00177630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Operation Jasper</w:t>
            </w:r>
          </w:p>
        </w:tc>
        <w:tc>
          <w:tcPr>
            <w:tcW w:w="2404" w:type="dxa"/>
          </w:tcPr>
          <w:p w14:paraId="34846A34" w14:textId="7C1C333A" w:rsidR="00CC581B" w:rsidRPr="0004556F" w:rsidRDefault="00177630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177630">
              <w:rPr>
                <w:rFonts w:ascii="Book Antiqua" w:eastAsiaTheme="minorHAnsi" w:hAnsi="Book Antiqua" w:cs="Athelas-Regular"/>
                <w:sz w:val="20"/>
                <w:szCs w:val="20"/>
              </w:rPr>
              <w:t>July 2013</w:t>
            </w:r>
          </w:p>
        </w:tc>
        <w:tc>
          <w:tcPr>
            <w:tcW w:w="3407" w:type="dxa"/>
          </w:tcPr>
          <w:p w14:paraId="56EB2F58" w14:textId="7E081FE7" w:rsidR="00CC581B" w:rsidRPr="0004556F" w:rsidRDefault="00177630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Investigation into</w:t>
            </w:r>
            <w:r w:rsidRPr="00177630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conduct of Ian Macdonald, Edward Obeid Senior, Moses Obeid and others</w:t>
            </w:r>
          </w:p>
        </w:tc>
      </w:tr>
      <w:tr w:rsidR="00CC581B" w14:paraId="74E67AE9" w14:textId="77777777" w:rsidTr="000F22CF">
        <w:tc>
          <w:tcPr>
            <w:tcW w:w="3261" w:type="dxa"/>
          </w:tcPr>
          <w:p w14:paraId="1DA0FD6D" w14:textId="4CAE2D7F" w:rsidR="00CC581B" w:rsidRPr="00177630" w:rsidRDefault="00177630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</w:pPr>
            <w:r w:rsidRPr="00177630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AB &amp; AH v The State of Western Australia</w:t>
            </w:r>
            <w:r w:rsidRPr="00177630">
              <w:rPr>
                <w:rFonts w:ascii="Book Antiqua" w:eastAsiaTheme="minorHAnsi" w:hAnsi="Book Antiqua" w:cs="Avenir-Light"/>
                <w:i/>
                <w:iCs/>
              </w:rPr>
              <w:t xml:space="preserve"> </w:t>
            </w:r>
          </w:p>
        </w:tc>
        <w:tc>
          <w:tcPr>
            <w:tcW w:w="2404" w:type="dxa"/>
          </w:tcPr>
          <w:p w14:paraId="4426EDE1" w14:textId="34B55115" w:rsidR="00CC581B" w:rsidRPr="0004556F" w:rsidRDefault="00177630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 w:rsidRPr="00177630">
              <w:rPr>
                <w:rFonts w:ascii="Book Antiqua" w:eastAsiaTheme="minorHAnsi" w:hAnsi="Book Antiqua" w:cs="Athelas-Regular"/>
                <w:sz w:val="20"/>
                <w:szCs w:val="20"/>
              </w:rPr>
              <w:t>(2011) 244 CLR 390</w:t>
            </w:r>
          </w:p>
        </w:tc>
        <w:tc>
          <w:tcPr>
            <w:tcW w:w="3407" w:type="dxa"/>
          </w:tcPr>
          <w:p w14:paraId="24809BD2" w14:textId="2EE13127" w:rsidR="00CC581B" w:rsidRPr="0004556F" w:rsidRDefault="00CC79DD" w:rsidP="00602635">
            <w:pPr>
              <w:autoSpaceDE w:val="0"/>
              <w:autoSpaceDN w:val="0"/>
              <w:adjustRightInd w:val="0"/>
              <w:spacing w:after="120" w:line="276" w:lineRule="auto"/>
              <w:rPr>
                <w:rFonts w:ascii="Book Antiqua" w:eastAsiaTheme="minorHAnsi" w:hAnsi="Book Antiqua" w:cs="Athelas-Regular"/>
                <w:sz w:val="20"/>
                <w:szCs w:val="20"/>
              </w:rPr>
            </w:pPr>
            <w:r>
              <w:rPr>
                <w:rFonts w:ascii="Book Antiqua" w:eastAsiaTheme="minorHAnsi" w:hAnsi="Book Antiqua" w:cs="Athelas-Regular"/>
                <w:sz w:val="20"/>
                <w:szCs w:val="20"/>
              </w:rPr>
              <w:t>A</w:t>
            </w:r>
            <w:r w:rsidR="00177630" w:rsidRPr="00CC79DD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pplication under the </w:t>
            </w:r>
            <w:r w:rsidR="00177630" w:rsidRPr="00CC79DD">
              <w:rPr>
                <w:rFonts w:ascii="Book Antiqua" w:eastAsiaTheme="minorHAnsi" w:hAnsi="Book Antiqua" w:cs="Athelas-Regular"/>
                <w:i/>
                <w:iCs/>
                <w:sz w:val="20"/>
                <w:szCs w:val="20"/>
              </w:rPr>
              <w:t>Gender Reassignment Act</w:t>
            </w:r>
            <w:r w:rsidR="00177630" w:rsidRPr="00CC79DD">
              <w:rPr>
                <w:rFonts w:ascii="Book Antiqua" w:eastAsiaTheme="minorHAnsi" w:hAnsi="Book Antiqua" w:cs="Athelas-Regular"/>
                <w:sz w:val="20"/>
                <w:szCs w:val="20"/>
              </w:rPr>
              <w:t xml:space="preserve"> 2000</w:t>
            </w:r>
          </w:p>
        </w:tc>
      </w:tr>
    </w:tbl>
    <w:p w14:paraId="03DC161D" w14:textId="77777777" w:rsidR="00EE3F0D" w:rsidRDefault="00EE3F0D" w:rsidP="00D42819">
      <w:pPr>
        <w:rPr>
          <w:rFonts w:ascii="Book Antiqua" w:eastAsiaTheme="minorHAnsi" w:hAnsi="Book Antiqua" w:cs="Athelas-Regular"/>
          <w:b/>
          <w:bCs/>
        </w:rPr>
      </w:pPr>
    </w:p>
    <w:p w14:paraId="35CD03B8" w14:textId="07091E4D" w:rsidR="00625F8E" w:rsidRPr="00D42819" w:rsidRDefault="00625F8E" w:rsidP="00D42819">
      <w:pPr>
        <w:rPr>
          <w:rFonts w:ascii="Book Antiqua" w:eastAsiaTheme="minorHAnsi" w:hAnsi="Book Antiqua" w:cs="Athelas-Regular"/>
          <w:b/>
          <w:bCs/>
        </w:rPr>
      </w:pPr>
      <w:r w:rsidRPr="00130D13">
        <w:rPr>
          <w:rFonts w:ascii="Book Antiqua" w:eastAsiaTheme="minorHAnsi" w:hAnsi="Book Antiqua" w:cs="Athelas-Regular"/>
          <w:b/>
          <w:bCs/>
        </w:rPr>
        <w:t>Admissions and Qualifications</w:t>
      </w:r>
    </w:p>
    <w:p w14:paraId="15147539" w14:textId="77777777" w:rsidR="00625F8E" w:rsidRPr="00130D13" w:rsidRDefault="00625F8E" w:rsidP="00316752">
      <w:pPr>
        <w:autoSpaceDE w:val="0"/>
        <w:autoSpaceDN w:val="0"/>
        <w:adjustRightInd w:val="0"/>
        <w:spacing w:before="120" w:after="120" w:line="276" w:lineRule="auto"/>
        <w:rPr>
          <w:rFonts w:ascii="Book Antiqua" w:eastAsiaTheme="minorHAnsi" w:hAnsi="Book Antiqua" w:cs="Athelas-Regular"/>
        </w:rPr>
      </w:pPr>
      <w:r w:rsidRPr="00130D13">
        <w:rPr>
          <w:rFonts w:ascii="Book Antiqua" w:eastAsiaTheme="minorHAnsi" w:hAnsi="Book Antiqua" w:cs="Athelas-Regular"/>
        </w:rPr>
        <w:t>Admissions</w:t>
      </w:r>
    </w:p>
    <w:p w14:paraId="4CE1DB35" w14:textId="77777777" w:rsidR="00625F8E" w:rsidRPr="00FC584A" w:rsidRDefault="00625F8E" w:rsidP="00316752">
      <w:pPr>
        <w:pStyle w:val="ListBullet"/>
        <w:spacing w:before="120" w:after="120" w:line="276" w:lineRule="auto"/>
        <w:rPr>
          <w:rFonts w:ascii="Book Antiqua" w:eastAsiaTheme="minorHAnsi" w:hAnsi="Book Antiqua" w:cs="Avenir-Light"/>
          <w:lang w:eastAsia="en-US"/>
        </w:rPr>
      </w:pPr>
      <w:r w:rsidRPr="00FC584A">
        <w:rPr>
          <w:rFonts w:ascii="Book Antiqua" w:eastAsiaTheme="minorHAnsi" w:hAnsi="Book Antiqua" w:cs="Avenir-Light"/>
          <w:lang w:eastAsia="en-US"/>
        </w:rPr>
        <w:t>Supreme Court of Western Australia (2008).</w:t>
      </w:r>
    </w:p>
    <w:p w14:paraId="4338FDEB" w14:textId="7C98AA32" w:rsidR="006E334C" w:rsidRPr="00FC584A" w:rsidRDefault="00625F8E" w:rsidP="00A24401">
      <w:pPr>
        <w:pStyle w:val="ListBullet"/>
        <w:spacing w:before="120" w:after="120" w:line="276" w:lineRule="auto"/>
        <w:rPr>
          <w:rFonts w:ascii="Book Antiqua" w:eastAsiaTheme="minorHAnsi" w:hAnsi="Book Antiqua" w:cs="Avenir-Light"/>
          <w:lang w:eastAsia="en-US"/>
        </w:rPr>
      </w:pPr>
      <w:r w:rsidRPr="00FC584A">
        <w:rPr>
          <w:rFonts w:ascii="Book Antiqua" w:eastAsiaTheme="minorHAnsi" w:hAnsi="Book Antiqua" w:cs="Avenir-Light"/>
          <w:lang w:eastAsia="en-US"/>
        </w:rPr>
        <w:t>High Court of Australia (2009).</w:t>
      </w:r>
    </w:p>
    <w:p w14:paraId="07290EE3" w14:textId="15D5B978" w:rsidR="00625F8E" w:rsidRPr="00975F22" w:rsidRDefault="00625F8E" w:rsidP="00316752">
      <w:pPr>
        <w:autoSpaceDE w:val="0"/>
        <w:autoSpaceDN w:val="0"/>
        <w:adjustRightInd w:val="0"/>
        <w:spacing w:before="120" w:after="120" w:line="276" w:lineRule="auto"/>
        <w:rPr>
          <w:rFonts w:ascii="Athelas-Regular" w:eastAsiaTheme="minorHAnsi" w:hAnsi="Athelas-Regular" w:cs="Athelas-Regular"/>
        </w:rPr>
      </w:pPr>
      <w:r w:rsidRPr="00130D13">
        <w:rPr>
          <w:rFonts w:ascii="Book Antiqua" w:eastAsiaTheme="minorHAnsi" w:hAnsi="Book Antiqua" w:cs="Athelas-Regular"/>
        </w:rPr>
        <w:t xml:space="preserve">Education – University of Western Australia </w:t>
      </w:r>
    </w:p>
    <w:p w14:paraId="4D2CDB5A" w14:textId="77777777" w:rsidR="00625F8E" w:rsidRPr="00FC584A" w:rsidRDefault="00625F8E" w:rsidP="00316752">
      <w:pPr>
        <w:pStyle w:val="ListBullet"/>
        <w:spacing w:before="120" w:after="120" w:line="276" w:lineRule="auto"/>
        <w:rPr>
          <w:rFonts w:ascii="Book Antiqua" w:eastAsiaTheme="minorHAnsi" w:hAnsi="Book Antiqua" w:cs="Avenir-Light"/>
          <w:lang w:eastAsia="en-US"/>
        </w:rPr>
      </w:pPr>
      <w:r w:rsidRPr="00FC584A">
        <w:rPr>
          <w:rFonts w:ascii="Book Antiqua" w:eastAsiaTheme="minorHAnsi" w:hAnsi="Book Antiqua" w:cs="Avenir-Light"/>
          <w:lang w:eastAsia="en-US"/>
        </w:rPr>
        <w:t>Bachelor of Laws with Distinction (2006).</w:t>
      </w:r>
    </w:p>
    <w:p w14:paraId="4CE7F113" w14:textId="77777777" w:rsidR="00625F8E" w:rsidRPr="00FC584A" w:rsidRDefault="00625F8E" w:rsidP="00316752">
      <w:pPr>
        <w:pStyle w:val="ListBullet"/>
        <w:spacing w:before="120" w:after="120" w:line="276" w:lineRule="auto"/>
        <w:rPr>
          <w:rFonts w:ascii="Book Antiqua" w:eastAsiaTheme="minorHAnsi" w:hAnsi="Book Antiqua" w:cs="Avenir-Light"/>
          <w:lang w:eastAsia="en-US"/>
        </w:rPr>
      </w:pPr>
      <w:r w:rsidRPr="00FC584A">
        <w:rPr>
          <w:rFonts w:ascii="Book Antiqua" w:eastAsiaTheme="minorHAnsi" w:hAnsi="Book Antiqua" w:cs="Avenir-Light"/>
          <w:lang w:eastAsia="en-US"/>
        </w:rPr>
        <w:t xml:space="preserve">Bachelor of Arts in Political Science with Honours (2004). </w:t>
      </w:r>
    </w:p>
    <w:p w14:paraId="79183686" w14:textId="77777777" w:rsidR="00625F8E" w:rsidRPr="00130D13" w:rsidRDefault="00625F8E" w:rsidP="00316752">
      <w:pPr>
        <w:autoSpaceDE w:val="0"/>
        <w:autoSpaceDN w:val="0"/>
        <w:adjustRightInd w:val="0"/>
        <w:spacing w:before="120" w:after="120" w:line="276" w:lineRule="auto"/>
        <w:rPr>
          <w:rFonts w:ascii="Book Antiqua" w:eastAsiaTheme="minorHAnsi" w:hAnsi="Book Antiqua" w:cs="Athelas-Regular"/>
        </w:rPr>
      </w:pPr>
      <w:r w:rsidRPr="00130D13">
        <w:rPr>
          <w:rFonts w:ascii="Book Antiqua" w:eastAsiaTheme="minorHAnsi" w:hAnsi="Book Antiqua" w:cs="Athelas-Regular"/>
        </w:rPr>
        <w:t xml:space="preserve">Other </w:t>
      </w:r>
    </w:p>
    <w:p w14:paraId="4BD333E8" w14:textId="02F48471" w:rsidR="00A24401" w:rsidRPr="00FC584A" w:rsidRDefault="007A106A" w:rsidP="00316752">
      <w:pPr>
        <w:pStyle w:val="ListBullet"/>
        <w:spacing w:before="120" w:after="120" w:line="276" w:lineRule="auto"/>
        <w:rPr>
          <w:rFonts w:ascii="Book Antiqua" w:eastAsiaTheme="minorHAnsi" w:hAnsi="Book Antiqua" w:cs="Avenir-Light"/>
          <w:lang w:eastAsia="en-US"/>
        </w:rPr>
      </w:pPr>
      <w:r w:rsidRPr="00FC584A">
        <w:rPr>
          <w:rFonts w:ascii="Book Antiqua" w:eastAsiaTheme="minorHAnsi" w:hAnsi="Book Antiqua" w:cs="Avenir-Light"/>
        </w:rPr>
        <w:t>Member of p</w:t>
      </w:r>
      <w:r w:rsidR="00A24401" w:rsidRPr="00FC584A">
        <w:rPr>
          <w:rFonts w:ascii="Book Antiqua" w:eastAsiaTheme="minorHAnsi" w:hAnsi="Book Antiqua" w:cs="Avenir-Light"/>
        </w:rPr>
        <w:t xml:space="preserve">anel of individuals that can act as arbitrators in the event of a dispute under the </w:t>
      </w:r>
      <w:r w:rsidR="00A24401" w:rsidRPr="00FC584A">
        <w:rPr>
          <w:rFonts w:ascii="Book Antiqua" w:eastAsiaTheme="minorHAnsi" w:hAnsi="Book Antiqua" w:cs="Avenir-Light"/>
          <w:i/>
          <w:iCs/>
        </w:rPr>
        <w:t>Railways (Access) Code 2000</w:t>
      </w:r>
      <w:r w:rsidR="00A24401" w:rsidRPr="00FC584A">
        <w:rPr>
          <w:rFonts w:ascii="Book Antiqua" w:eastAsiaTheme="minorHAnsi" w:hAnsi="Book Antiqua" w:cs="Avenir-Light"/>
        </w:rPr>
        <w:t>.</w:t>
      </w:r>
    </w:p>
    <w:p w14:paraId="58050B6B" w14:textId="4D6F4456" w:rsidR="00A24401" w:rsidRDefault="00A24401" w:rsidP="00316752">
      <w:pPr>
        <w:pStyle w:val="ListBullet"/>
        <w:spacing w:before="120" w:after="120" w:line="276" w:lineRule="auto"/>
        <w:rPr>
          <w:rFonts w:ascii="Book Antiqua" w:eastAsiaTheme="minorHAnsi" w:hAnsi="Book Antiqua" w:cs="Avenir-Light"/>
          <w:lang w:eastAsia="en-US"/>
        </w:rPr>
      </w:pPr>
      <w:r w:rsidRPr="00FC584A">
        <w:rPr>
          <w:rFonts w:ascii="Book Antiqua" w:eastAsiaTheme="minorHAnsi" w:hAnsi="Book Antiqua" w:cs="Avenir-Light"/>
        </w:rPr>
        <w:t>Member of the National Sports Tribunal Legal Assistance Panel</w:t>
      </w:r>
      <w:r w:rsidR="00591B96" w:rsidRPr="00FC584A">
        <w:rPr>
          <w:rFonts w:ascii="Book Antiqua" w:eastAsiaTheme="minorHAnsi" w:hAnsi="Book Antiqua" w:cs="Avenir-Light"/>
        </w:rPr>
        <w:t xml:space="preserve">. </w:t>
      </w:r>
    </w:p>
    <w:p w14:paraId="0E8161E0" w14:textId="71241BB6" w:rsidR="00C77251" w:rsidRPr="00FC584A" w:rsidRDefault="00C77251" w:rsidP="00316752">
      <w:pPr>
        <w:pStyle w:val="ListBullet"/>
        <w:spacing w:before="120" w:after="120" w:line="276" w:lineRule="auto"/>
        <w:rPr>
          <w:rFonts w:ascii="Book Antiqua" w:eastAsiaTheme="minorHAnsi" w:hAnsi="Book Antiqua" w:cs="Avenir-Light"/>
          <w:lang w:eastAsia="en-US"/>
        </w:rPr>
      </w:pPr>
      <w:r>
        <w:rPr>
          <w:rFonts w:ascii="Book Antiqua" w:eastAsiaTheme="minorHAnsi" w:hAnsi="Book Antiqua" w:cs="Avenir-Light"/>
        </w:rPr>
        <w:t>Board member of Rosalie Primary School and W</w:t>
      </w:r>
      <w:r w:rsidR="00CA4FC1">
        <w:rPr>
          <w:rFonts w:ascii="Book Antiqua" w:eastAsiaTheme="minorHAnsi" w:hAnsi="Book Antiqua" w:cs="Avenir-Light"/>
        </w:rPr>
        <w:t>A Justice Association (WAJA)</w:t>
      </w:r>
      <w:r w:rsidR="00F14523">
        <w:rPr>
          <w:rFonts w:ascii="Book Antiqua" w:eastAsiaTheme="minorHAnsi" w:hAnsi="Book Antiqua" w:cs="Avenir-Light"/>
        </w:rPr>
        <w:t xml:space="preserve">. </w:t>
      </w:r>
    </w:p>
    <w:p w14:paraId="30F09D9B" w14:textId="5EE19FF3" w:rsidR="00625F8E" w:rsidRPr="00FC584A" w:rsidRDefault="00625F8E" w:rsidP="00316752">
      <w:pPr>
        <w:pStyle w:val="ListBullet"/>
        <w:spacing w:before="120" w:after="120" w:line="276" w:lineRule="auto"/>
        <w:rPr>
          <w:rFonts w:ascii="Book Antiqua" w:eastAsiaTheme="minorHAnsi" w:hAnsi="Book Antiqua" w:cs="Avenir-Light"/>
          <w:lang w:eastAsia="en-US"/>
        </w:rPr>
      </w:pPr>
      <w:r w:rsidRPr="00FC584A">
        <w:rPr>
          <w:rFonts w:ascii="Book Antiqua" w:eastAsiaTheme="minorHAnsi" w:hAnsi="Book Antiqua" w:cs="Avenir-Light"/>
          <w:lang w:eastAsia="en-US"/>
        </w:rPr>
        <w:t xml:space="preserve">Member of Women Lawyers of Western Australia. </w:t>
      </w:r>
    </w:p>
    <w:p w14:paraId="19DAFE94" w14:textId="77777777" w:rsidR="00625F8E" w:rsidRPr="00FC584A" w:rsidRDefault="00625F8E" w:rsidP="00316752">
      <w:pPr>
        <w:pStyle w:val="ListBullet"/>
        <w:spacing w:before="120" w:after="120" w:line="276" w:lineRule="auto"/>
        <w:rPr>
          <w:rFonts w:ascii="Book Antiqua" w:eastAsiaTheme="minorHAnsi" w:hAnsi="Book Antiqua" w:cs="Avenir-Light"/>
          <w:lang w:eastAsia="en-US"/>
        </w:rPr>
      </w:pPr>
      <w:r w:rsidRPr="00FC584A">
        <w:rPr>
          <w:rFonts w:ascii="Book Antiqua" w:eastAsiaTheme="minorHAnsi" w:hAnsi="Book Antiqua" w:cs="Avenir-Light"/>
          <w:lang w:eastAsia="en-US"/>
        </w:rPr>
        <w:t>Graduate of Leadership Western Australia; Rising Leaders Program 2014.</w:t>
      </w:r>
    </w:p>
    <w:p w14:paraId="6CCED396" w14:textId="0FDAF2FD" w:rsidR="00FE3AA5" w:rsidRPr="00625F8E" w:rsidRDefault="00FE3AA5" w:rsidP="00625F8E">
      <w:pPr>
        <w:pStyle w:val="ListBullet"/>
        <w:numPr>
          <w:ilvl w:val="0"/>
          <w:numId w:val="0"/>
        </w:numPr>
        <w:spacing w:before="120" w:after="120" w:line="276" w:lineRule="auto"/>
        <w:rPr>
          <w:rFonts w:ascii="Avenir-Light" w:eastAsiaTheme="minorHAnsi" w:hAnsi="Avenir-Light" w:cs="Avenir-Light"/>
          <w:lang w:eastAsia="en-US"/>
        </w:rPr>
      </w:pPr>
    </w:p>
    <w:sectPr w:rsidR="00FE3AA5" w:rsidRPr="00625F8E" w:rsidSect="000F58EC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797" w:bottom="54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2F175" w14:textId="77777777" w:rsidR="000D7E5F" w:rsidRDefault="000D7E5F">
      <w:r>
        <w:separator/>
      </w:r>
    </w:p>
  </w:endnote>
  <w:endnote w:type="continuationSeparator" w:id="0">
    <w:p w14:paraId="44AF0121" w14:textId="77777777" w:rsidR="000D7E5F" w:rsidRDefault="000D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thelas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enir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1C1B" w14:textId="77777777" w:rsidR="00FE3AA5" w:rsidRDefault="00FE3AA5" w:rsidP="00FE3A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1708F5" w14:textId="77777777" w:rsidR="00FE3AA5" w:rsidRDefault="00FE3AA5" w:rsidP="00FE3A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AFAE5" w14:textId="77777777" w:rsidR="00FE3AA5" w:rsidRPr="00503F08" w:rsidRDefault="00FE3AA5" w:rsidP="00FE3AA5">
    <w:pPr>
      <w:pStyle w:val="Footer"/>
      <w:framePr w:wrap="around" w:vAnchor="text" w:hAnchor="margin" w:xAlign="right" w:y="1"/>
      <w:rPr>
        <w:rStyle w:val="PageNumber"/>
        <w:rFonts w:ascii="Book Antiqua" w:hAnsi="Book Antiqua"/>
        <w:sz w:val="18"/>
        <w:szCs w:val="18"/>
      </w:rPr>
    </w:pPr>
    <w:r w:rsidRPr="00503F08">
      <w:rPr>
        <w:rStyle w:val="PageNumber"/>
        <w:rFonts w:ascii="Book Antiqua" w:hAnsi="Book Antiqua"/>
        <w:sz w:val="22"/>
        <w:szCs w:val="22"/>
      </w:rPr>
      <w:fldChar w:fldCharType="begin"/>
    </w:r>
    <w:r w:rsidRPr="00503F08">
      <w:rPr>
        <w:rStyle w:val="PageNumber"/>
        <w:rFonts w:ascii="Book Antiqua" w:hAnsi="Book Antiqua"/>
        <w:sz w:val="22"/>
        <w:szCs w:val="22"/>
      </w:rPr>
      <w:instrText xml:space="preserve">PAGE  </w:instrText>
    </w:r>
    <w:r w:rsidRPr="00503F08">
      <w:rPr>
        <w:rStyle w:val="PageNumber"/>
        <w:rFonts w:ascii="Book Antiqua" w:hAnsi="Book Antiqua"/>
        <w:sz w:val="22"/>
        <w:szCs w:val="22"/>
      </w:rPr>
      <w:fldChar w:fldCharType="separate"/>
    </w:r>
    <w:r w:rsidR="000A762A" w:rsidRPr="00503F08">
      <w:rPr>
        <w:rStyle w:val="PageNumber"/>
        <w:rFonts w:ascii="Book Antiqua" w:hAnsi="Book Antiqua"/>
        <w:noProof/>
        <w:sz w:val="22"/>
        <w:szCs w:val="22"/>
      </w:rPr>
      <w:t>3</w:t>
    </w:r>
    <w:r w:rsidRPr="00503F08">
      <w:rPr>
        <w:rStyle w:val="PageNumber"/>
        <w:rFonts w:ascii="Book Antiqua" w:hAnsi="Book Antiqua"/>
        <w:sz w:val="22"/>
        <w:szCs w:val="22"/>
      </w:rPr>
      <w:fldChar w:fldCharType="end"/>
    </w:r>
  </w:p>
  <w:p w14:paraId="44A7EC52" w14:textId="77777777" w:rsidR="00FE3AA5" w:rsidRPr="00420FAB" w:rsidRDefault="00FE3AA5" w:rsidP="00FE3AA5">
    <w:pPr>
      <w:pStyle w:val="Footer"/>
      <w:tabs>
        <w:tab w:val="clear" w:pos="4153"/>
        <w:tab w:val="clear" w:pos="8306"/>
        <w:tab w:val="left" w:pos="3293"/>
      </w:tabs>
      <w:rPr>
        <w:rFonts w:ascii="Times New Roman" w:hAnsi="Times New Roman"/>
        <w:sz w:val="18"/>
      </w:rPr>
    </w:pPr>
  </w:p>
  <w:p w14:paraId="7921EA6A" w14:textId="77777777" w:rsidR="00FE3AA5" w:rsidRPr="00342D25" w:rsidRDefault="00FE3AA5" w:rsidP="00FE3AA5">
    <w:pPr>
      <w:pStyle w:val="Footer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A135" w14:textId="77777777" w:rsidR="00D243F9" w:rsidRDefault="00D243F9" w:rsidP="00D243F9">
    <w:pPr>
      <w:pStyle w:val="Footer"/>
      <w:tabs>
        <w:tab w:val="clear" w:pos="4153"/>
        <w:tab w:val="clear" w:pos="8306"/>
        <w:tab w:val="left" w:pos="3293"/>
      </w:tabs>
      <w:rPr>
        <w:rFonts w:ascii="Times New Roman" w:hAnsi="Times New Roman" w:cs="Helvetica"/>
        <w:b/>
        <w:bCs/>
        <w:sz w:val="18"/>
        <w:szCs w:val="3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FE19" w14:textId="77777777" w:rsidR="000D7E5F" w:rsidRDefault="000D7E5F">
      <w:r>
        <w:separator/>
      </w:r>
    </w:p>
  </w:footnote>
  <w:footnote w:type="continuationSeparator" w:id="0">
    <w:p w14:paraId="2E225B36" w14:textId="77777777" w:rsidR="000D7E5F" w:rsidRDefault="000D7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18FB0" w14:textId="77777777" w:rsidR="00FE3AA5" w:rsidRDefault="00FE3AA5" w:rsidP="00380A3B">
    <w:pPr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F4C58"/>
    <w:multiLevelType w:val="hybridMultilevel"/>
    <w:tmpl w:val="FE5CDD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B6A12"/>
    <w:multiLevelType w:val="hybridMultilevel"/>
    <w:tmpl w:val="DB666824"/>
    <w:lvl w:ilvl="0" w:tplc="1B2231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97739"/>
    <w:multiLevelType w:val="hybridMultilevel"/>
    <w:tmpl w:val="8C52C780"/>
    <w:lvl w:ilvl="0" w:tplc="3DB0DDA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4D09A8"/>
    <w:multiLevelType w:val="hybridMultilevel"/>
    <w:tmpl w:val="DC043E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D7949"/>
    <w:multiLevelType w:val="singleLevel"/>
    <w:tmpl w:val="00D89A78"/>
    <w:lvl w:ilvl="0">
      <w:start w:val="1"/>
      <w:numFmt w:val="bullet"/>
      <w:pStyle w:val="List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sz w:val="16"/>
        <w:szCs w:val="16"/>
      </w:rPr>
    </w:lvl>
  </w:abstractNum>
  <w:num w:numId="1" w16cid:durableId="286742508">
    <w:abstractNumId w:val="0"/>
  </w:num>
  <w:num w:numId="2" w16cid:durableId="161237875">
    <w:abstractNumId w:val="1"/>
  </w:num>
  <w:num w:numId="3" w16cid:durableId="1866820431">
    <w:abstractNumId w:val="2"/>
  </w:num>
  <w:num w:numId="4" w16cid:durableId="1017778015">
    <w:abstractNumId w:val="3"/>
  </w:num>
  <w:num w:numId="5" w16cid:durableId="1986277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9111226">
    <w:abstractNumId w:val="4"/>
  </w:num>
  <w:num w:numId="7" w16cid:durableId="771701196">
    <w:abstractNumId w:val="4"/>
    <w:lvlOverride w:ilvl="0">
      <w:startOverride w:val="1"/>
    </w:lvlOverride>
  </w:num>
  <w:num w:numId="8" w16cid:durableId="1060910317">
    <w:abstractNumId w:val="4"/>
  </w:num>
  <w:num w:numId="9" w16cid:durableId="859010613">
    <w:abstractNumId w:val="4"/>
  </w:num>
  <w:num w:numId="10" w16cid:durableId="968127444">
    <w:abstractNumId w:val="4"/>
  </w:num>
  <w:num w:numId="11" w16cid:durableId="1212962221">
    <w:abstractNumId w:val="4"/>
  </w:num>
  <w:num w:numId="12" w16cid:durableId="657882689">
    <w:abstractNumId w:val="4"/>
  </w:num>
  <w:num w:numId="13" w16cid:durableId="1734543883">
    <w:abstractNumId w:val="4"/>
  </w:num>
  <w:num w:numId="14" w16cid:durableId="953287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ECD"/>
    <w:rsid w:val="0000200B"/>
    <w:rsid w:val="00002EBE"/>
    <w:rsid w:val="000039E6"/>
    <w:rsid w:val="0000756E"/>
    <w:rsid w:val="000107CC"/>
    <w:rsid w:val="00010DE1"/>
    <w:rsid w:val="000139A9"/>
    <w:rsid w:val="000150ED"/>
    <w:rsid w:val="000155B3"/>
    <w:rsid w:val="000169AB"/>
    <w:rsid w:val="0002396A"/>
    <w:rsid w:val="000264D0"/>
    <w:rsid w:val="00026687"/>
    <w:rsid w:val="00026D71"/>
    <w:rsid w:val="00032E91"/>
    <w:rsid w:val="000338FA"/>
    <w:rsid w:val="00040718"/>
    <w:rsid w:val="0004096C"/>
    <w:rsid w:val="00042EDA"/>
    <w:rsid w:val="0004556F"/>
    <w:rsid w:val="00053131"/>
    <w:rsid w:val="00055452"/>
    <w:rsid w:val="000555A2"/>
    <w:rsid w:val="00056B84"/>
    <w:rsid w:val="00063C11"/>
    <w:rsid w:val="000656FB"/>
    <w:rsid w:val="00066FEE"/>
    <w:rsid w:val="0007161D"/>
    <w:rsid w:val="00072A92"/>
    <w:rsid w:val="000749D8"/>
    <w:rsid w:val="00075AAD"/>
    <w:rsid w:val="00080CF1"/>
    <w:rsid w:val="00081692"/>
    <w:rsid w:val="00083244"/>
    <w:rsid w:val="000874C1"/>
    <w:rsid w:val="00092579"/>
    <w:rsid w:val="00092AB5"/>
    <w:rsid w:val="00092D38"/>
    <w:rsid w:val="00092E25"/>
    <w:rsid w:val="000A19D5"/>
    <w:rsid w:val="000A2CAF"/>
    <w:rsid w:val="000A4B0E"/>
    <w:rsid w:val="000A61E2"/>
    <w:rsid w:val="000A72BC"/>
    <w:rsid w:val="000A762A"/>
    <w:rsid w:val="000A7807"/>
    <w:rsid w:val="000A7974"/>
    <w:rsid w:val="000B2537"/>
    <w:rsid w:val="000C6331"/>
    <w:rsid w:val="000C67B3"/>
    <w:rsid w:val="000C6CFB"/>
    <w:rsid w:val="000D1BDE"/>
    <w:rsid w:val="000D31F7"/>
    <w:rsid w:val="000D63CE"/>
    <w:rsid w:val="000D7D1A"/>
    <w:rsid w:val="000D7E5F"/>
    <w:rsid w:val="000E50EE"/>
    <w:rsid w:val="000E5220"/>
    <w:rsid w:val="000F161D"/>
    <w:rsid w:val="000F164B"/>
    <w:rsid w:val="000F22CF"/>
    <w:rsid w:val="000F4274"/>
    <w:rsid w:val="000F58EC"/>
    <w:rsid w:val="00101C26"/>
    <w:rsid w:val="001051F4"/>
    <w:rsid w:val="00105B2B"/>
    <w:rsid w:val="00105B5D"/>
    <w:rsid w:val="0010764D"/>
    <w:rsid w:val="001212AF"/>
    <w:rsid w:val="0012269F"/>
    <w:rsid w:val="00127687"/>
    <w:rsid w:val="00127DA1"/>
    <w:rsid w:val="00130D13"/>
    <w:rsid w:val="001319FD"/>
    <w:rsid w:val="001321ED"/>
    <w:rsid w:val="0013263A"/>
    <w:rsid w:val="00133523"/>
    <w:rsid w:val="00152F82"/>
    <w:rsid w:val="00164812"/>
    <w:rsid w:val="00164F42"/>
    <w:rsid w:val="00166692"/>
    <w:rsid w:val="00167001"/>
    <w:rsid w:val="00170B9C"/>
    <w:rsid w:val="00170E52"/>
    <w:rsid w:val="00171471"/>
    <w:rsid w:val="00173AFC"/>
    <w:rsid w:val="00175B06"/>
    <w:rsid w:val="001770B4"/>
    <w:rsid w:val="00177630"/>
    <w:rsid w:val="0018349A"/>
    <w:rsid w:val="00183FC2"/>
    <w:rsid w:val="001865F4"/>
    <w:rsid w:val="00187014"/>
    <w:rsid w:val="00187169"/>
    <w:rsid w:val="001903CF"/>
    <w:rsid w:val="0019121E"/>
    <w:rsid w:val="00191B19"/>
    <w:rsid w:val="00191D1A"/>
    <w:rsid w:val="00195342"/>
    <w:rsid w:val="001954E9"/>
    <w:rsid w:val="001B11A4"/>
    <w:rsid w:val="001B1810"/>
    <w:rsid w:val="001B6A8E"/>
    <w:rsid w:val="001B7948"/>
    <w:rsid w:val="001C0A4A"/>
    <w:rsid w:val="001C163F"/>
    <w:rsid w:val="001C37C7"/>
    <w:rsid w:val="001C6B37"/>
    <w:rsid w:val="001D1025"/>
    <w:rsid w:val="001D59F0"/>
    <w:rsid w:val="001E017F"/>
    <w:rsid w:val="001E095E"/>
    <w:rsid w:val="001E3619"/>
    <w:rsid w:val="001E3B3B"/>
    <w:rsid w:val="001E66CF"/>
    <w:rsid w:val="001E6861"/>
    <w:rsid w:val="001F4376"/>
    <w:rsid w:val="001F4D02"/>
    <w:rsid w:val="00203C43"/>
    <w:rsid w:val="0021094B"/>
    <w:rsid w:val="00211AF9"/>
    <w:rsid w:val="0021215A"/>
    <w:rsid w:val="002126B8"/>
    <w:rsid w:val="00213873"/>
    <w:rsid w:val="00224C9E"/>
    <w:rsid w:val="00227698"/>
    <w:rsid w:val="00227EE1"/>
    <w:rsid w:val="00230E40"/>
    <w:rsid w:val="00230E69"/>
    <w:rsid w:val="0023184B"/>
    <w:rsid w:val="00231AFC"/>
    <w:rsid w:val="00235869"/>
    <w:rsid w:val="00235D6A"/>
    <w:rsid w:val="002364A7"/>
    <w:rsid w:val="00243AD2"/>
    <w:rsid w:val="00245ED2"/>
    <w:rsid w:val="00246351"/>
    <w:rsid w:val="002479EE"/>
    <w:rsid w:val="00250C10"/>
    <w:rsid w:val="00251B1D"/>
    <w:rsid w:val="00252356"/>
    <w:rsid w:val="00261302"/>
    <w:rsid w:val="00261C81"/>
    <w:rsid w:val="0026359A"/>
    <w:rsid w:val="00264940"/>
    <w:rsid w:val="00265AF7"/>
    <w:rsid w:val="00270451"/>
    <w:rsid w:val="00274050"/>
    <w:rsid w:val="00275883"/>
    <w:rsid w:val="00275B47"/>
    <w:rsid w:val="00276939"/>
    <w:rsid w:val="00276D1D"/>
    <w:rsid w:val="0028717F"/>
    <w:rsid w:val="00290877"/>
    <w:rsid w:val="00292A5D"/>
    <w:rsid w:val="00292D50"/>
    <w:rsid w:val="002A3169"/>
    <w:rsid w:val="002A5801"/>
    <w:rsid w:val="002A6142"/>
    <w:rsid w:val="002A75BD"/>
    <w:rsid w:val="002B15E4"/>
    <w:rsid w:val="002B1C3B"/>
    <w:rsid w:val="002B40B5"/>
    <w:rsid w:val="002B53BE"/>
    <w:rsid w:val="002C22A8"/>
    <w:rsid w:val="002C24E7"/>
    <w:rsid w:val="002C4B3E"/>
    <w:rsid w:val="002D5B86"/>
    <w:rsid w:val="002E1C69"/>
    <w:rsid w:val="002E5DED"/>
    <w:rsid w:val="002F0164"/>
    <w:rsid w:val="002F03C2"/>
    <w:rsid w:val="002F0D48"/>
    <w:rsid w:val="002F3E61"/>
    <w:rsid w:val="003022FF"/>
    <w:rsid w:val="0030586F"/>
    <w:rsid w:val="00313A53"/>
    <w:rsid w:val="00316752"/>
    <w:rsid w:val="003173A3"/>
    <w:rsid w:val="00321F04"/>
    <w:rsid w:val="00322A1C"/>
    <w:rsid w:val="00324EA9"/>
    <w:rsid w:val="0032685D"/>
    <w:rsid w:val="00333BC1"/>
    <w:rsid w:val="0033559A"/>
    <w:rsid w:val="00336DAE"/>
    <w:rsid w:val="00347E34"/>
    <w:rsid w:val="00350BCC"/>
    <w:rsid w:val="003533A1"/>
    <w:rsid w:val="00360A31"/>
    <w:rsid w:val="00361A7D"/>
    <w:rsid w:val="00374CA6"/>
    <w:rsid w:val="00380A3B"/>
    <w:rsid w:val="00383BCD"/>
    <w:rsid w:val="00387314"/>
    <w:rsid w:val="00396943"/>
    <w:rsid w:val="003A0E13"/>
    <w:rsid w:val="003A669E"/>
    <w:rsid w:val="003A79CF"/>
    <w:rsid w:val="003B2294"/>
    <w:rsid w:val="003B315F"/>
    <w:rsid w:val="003B5337"/>
    <w:rsid w:val="003B6AFE"/>
    <w:rsid w:val="003C08D2"/>
    <w:rsid w:val="003C15CF"/>
    <w:rsid w:val="003C3421"/>
    <w:rsid w:val="003C34F6"/>
    <w:rsid w:val="003C6FB9"/>
    <w:rsid w:val="003D59DD"/>
    <w:rsid w:val="003D6ADF"/>
    <w:rsid w:val="003D790E"/>
    <w:rsid w:val="003D7C73"/>
    <w:rsid w:val="003E58F3"/>
    <w:rsid w:val="003E7DB2"/>
    <w:rsid w:val="003F4328"/>
    <w:rsid w:val="003F45F3"/>
    <w:rsid w:val="00402DB7"/>
    <w:rsid w:val="00404FFD"/>
    <w:rsid w:val="00412E1D"/>
    <w:rsid w:val="004145D8"/>
    <w:rsid w:val="0041624A"/>
    <w:rsid w:val="00420950"/>
    <w:rsid w:val="0042107A"/>
    <w:rsid w:val="004211E3"/>
    <w:rsid w:val="00427D10"/>
    <w:rsid w:val="00430C3F"/>
    <w:rsid w:val="004330F0"/>
    <w:rsid w:val="00441056"/>
    <w:rsid w:val="00447859"/>
    <w:rsid w:val="004503CE"/>
    <w:rsid w:val="004507C0"/>
    <w:rsid w:val="00456AA9"/>
    <w:rsid w:val="00465C2A"/>
    <w:rsid w:val="00467009"/>
    <w:rsid w:val="00467A36"/>
    <w:rsid w:val="004711F8"/>
    <w:rsid w:val="00472F46"/>
    <w:rsid w:val="004765B8"/>
    <w:rsid w:val="004844E2"/>
    <w:rsid w:val="004869F8"/>
    <w:rsid w:val="004872B7"/>
    <w:rsid w:val="00487319"/>
    <w:rsid w:val="00487F46"/>
    <w:rsid w:val="00492D40"/>
    <w:rsid w:val="004958AA"/>
    <w:rsid w:val="004A0FF3"/>
    <w:rsid w:val="004A212F"/>
    <w:rsid w:val="004B0E06"/>
    <w:rsid w:val="004B1449"/>
    <w:rsid w:val="004B1F87"/>
    <w:rsid w:val="004B2A62"/>
    <w:rsid w:val="004B3EAC"/>
    <w:rsid w:val="004C0029"/>
    <w:rsid w:val="004C6189"/>
    <w:rsid w:val="004D0725"/>
    <w:rsid w:val="004E0740"/>
    <w:rsid w:val="004E3286"/>
    <w:rsid w:val="004E3CDA"/>
    <w:rsid w:val="004E6230"/>
    <w:rsid w:val="004F2F15"/>
    <w:rsid w:val="004F47BA"/>
    <w:rsid w:val="004F75E1"/>
    <w:rsid w:val="004F7A4E"/>
    <w:rsid w:val="0050059C"/>
    <w:rsid w:val="005028DE"/>
    <w:rsid w:val="00503030"/>
    <w:rsid w:val="00503F08"/>
    <w:rsid w:val="00506580"/>
    <w:rsid w:val="00511A5B"/>
    <w:rsid w:val="00514B88"/>
    <w:rsid w:val="005174FB"/>
    <w:rsid w:val="00524EC2"/>
    <w:rsid w:val="00524FA3"/>
    <w:rsid w:val="00525D47"/>
    <w:rsid w:val="00526517"/>
    <w:rsid w:val="0052757B"/>
    <w:rsid w:val="00530561"/>
    <w:rsid w:val="0053075D"/>
    <w:rsid w:val="00532018"/>
    <w:rsid w:val="005374CF"/>
    <w:rsid w:val="00537832"/>
    <w:rsid w:val="00543A8E"/>
    <w:rsid w:val="0055461C"/>
    <w:rsid w:val="00556C72"/>
    <w:rsid w:val="00570983"/>
    <w:rsid w:val="0057474D"/>
    <w:rsid w:val="00574784"/>
    <w:rsid w:val="00577B8B"/>
    <w:rsid w:val="0058475A"/>
    <w:rsid w:val="00591B96"/>
    <w:rsid w:val="00592885"/>
    <w:rsid w:val="00596244"/>
    <w:rsid w:val="00596B55"/>
    <w:rsid w:val="005A0441"/>
    <w:rsid w:val="005A1021"/>
    <w:rsid w:val="005A5876"/>
    <w:rsid w:val="005A7AAF"/>
    <w:rsid w:val="005B26A5"/>
    <w:rsid w:val="005C3C60"/>
    <w:rsid w:val="005C517B"/>
    <w:rsid w:val="005C5668"/>
    <w:rsid w:val="005C7538"/>
    <w:rsid w:val="005D2A6D"/>
    <w:rsid w:val="005D31C4"/>
    <w:rsid w:val="005D438E"/>
    <w:rsid w:val="005D44C5"/>
    <w:rsid w:val="005E25AC"/>
    <w:rsid w:val="005E3088"/>
    <w:rsid w:val="005E3094"/>
    <w:rsid w:val="005E55EA"/>
    <w:rsid w:val="005F0C54"/>
    <w:rsid w:val="005F390B"/>
    <w:rsid w:val="0060087A"/>
    <w:rsid w:val="00602635"/>
    <w:rsid w:val="0060710C"/>
    <w:rsid w:val="006110E5"/>
    <w:rsid w:val="00615B5A"/>
    <w:rsid w:val="00625F8E"/>
    <w:rsid w:val="00626D0E"/>
    <w:rsid w:val="00630495"/>
    <w:rsid w:val="00630B4E"/>
    <w:rsid w:val="00634CFC"/>
    <w:rsid w:val="00652FFD"/>
    <w:rsid w:val="00653528"/>
    <w:rsid w:val="00656D7F"/>
    <w:rsid w:val="006603B3"/>
    <w:rsid w:val="006741E6"/>
    <w:rsid w:val="006747A3"/>
    <w:rsid w:val="006813BB"/>
    <w:rsid w:val="00685AD3"/>
    <w:rsid w:val="00692576"/>
    <w:rsid w:val="0069316A"/>
    <w:rsid w:val="00694520"/>
    <w:rsid w:val="00697BD4"/>
    <w:rsid w:val="006A08B2"/>
    <w:rsid w:val="006A413D"/>
    <w:rsid w:val="006A6C66"/>
    <w:rsid w:val="006B7ACA"/>
    <w:rsid w:val="006C0221"/>
    <w:rsid w:val="006C52C5"/>
    <w:rsid w:val="006C6300"/>
    <w:rsid w:val="006C758C"/>
    <w:rsid w:val="006E334C"/>
    <w:rsid w:val="006E46C0"/>
    <w:rsid w:val="006F5C9B"/>
    <w:rsid w:val="006F6E81"/>
    <w:rsid w:val="00700298"/>
    <w:rsid w:val="00701BE4"/>
    <w:rsid w:val="00706E7A"/>
    <w:rsid w:val="00713669"/>
    <w:rsid w:val="00713F94"/>
    <w:rsid w:val="00726F01"/>
    <w:rsid w:val="0073195E"/>
    <w:rsid w:val="00734AAD"/>
    <w:rsid w:val="0074581D"/>
    <w:rsid w:val="0077001F"/>
    <w:rsid w:val="00771E6B"/>
    <w:rsid w:val="00776A99"/>
    <w:rsid w:val="0079126B"/>
    <w:rsid w:val="007949AF"/>
    <w:rsid w:val="00794EA7"/>
    <w:rsid w:val="00795A92"/>
    <w:rsid w:val="007A106A"/>
    <w:rsid w:val="007A4DED"/>
    <w:rsid w:val="007B1C9C"/>
    <w:rsid w:val="007B2419"/>
    <w:rsid w:val="007B476C"/>
    <w:rsid w:val="007B7245"/>
    <w:rsid w:val="007C02E7"/>
    <w:rsid w:val="007C57A0"/>
    <w:rsid w:val="007C6465"/>
    <w:rsid w:val="007D2392"/>
    <w:rsid w:val="007D2D99"/>
    <w:rsid w:val="007D6173"/>
    <w:rsid w:val="007D6B70"/>
    <w:rsid w:val="007D7C78"/>
    <w:rsid w:val="007E00DB"/>
    <w:rsid w:val="007E3B7D"/>
    <w:rsid w:val="007E546D"/>
    <w:rsid w:val="007E70D8"/>
    <w:rsid w:val="007F4679"/>
    <w:rsid w:val="00801CFA"/>
    <w:rsid w:val="008025A9"/>
    <w:rsid w:val="00805944"/>
    <w:rsid w:val="00807BAD"/>
    <w:rsid w:val="0081033B"/>
    <w:rsid w:val="00811679"/>
    <w:rsid w:val="008175F0"/>
    <w:rsid w:val="00820421"/>
    <w:rsid w:val="00822B46"/>
    <w:rsid w:val="00824CED"/>
    <w:rsid w:val="00826FA1"/>
    <w:rsid w:val="00830105"/>
    <w:rsid w:val="00830463"/>
    <w:rsid w:val="0083485A"/>
    <w:rsid w:val="00835649"/>
    <w:rsid w:val="00835F07"/>
    <w:rsid w:val="008368AA"/>
    <w:rsid w:val="0083707A"/>
    <w:rsid w:val="008419BF"/>
    <w:rsid w:val="00841C0D"/>
    <w:rsid w:val="008455EF"/>
    <w:rsid w:val="0085072B"/>
    <w:rsid w:val="00850A55"/>
    <w:rsid w:val="00857BDF"/>
    <w:rsid w:val="00862218"/>
    <w:rsid w:val="00866C4C"/>
    <w:rsid w:val="008670A9"/>
    <w:rsid w:val="00871593"/>
    <w:rsid w:val="008729AF"/>
    <w:rsid w:val="00872BAA"/>
    <w:rsid w:val="00875853"/>
    <w:rsid w:val="008762F1"/>
    <w:rsid w:val="0087698B"/>
    <w:rsid w:val="00880786"/>
    <w:rsid w:val="00886C09"/>
    <w:rsid w:val="00894801"/>
    <w:rsid w:val="00897DB5"/>
    <w:rsid w:val="008A59E9"/>
    <w:rsid w:val="008A5E95"/>
    <w:rsid w:val="008A7914"/>
    <w:rsid w:val="008B02B1"/>
    <w:rsid w:val="008B0D9E"/>
    <w:rsid w:val="008B2660"/>
    <w:rsid w:val="008C086A"/>
    <w:rsid w:val="008C0993"/>
    <w:rsid w:val="008C2463"/>
    <w:rsid w:val="008C390C"/>
    <w:rsid w:val="008C3ADF"/>
    <w:rsid w:val="008C5196"/>
    <w:rsid w:val="008C67DC"/>
    <w:rsid w:val="008D1745"/>
    <w:rsid w:val="008D6728"/>
    <w:rsid w:val="008D741B"/>
    <w:rsid w:val="008E0BFB"/>
    <w:rsid w:val="008E1028"/>
    <w:rsid w:val="008E123E"/>
    <w:rsid w:val="008E39EF"/>
    <w:rsid w:val="008E435D"/>
    <w:rsid w:val="008E6C8E"/>
    <w:rsid w:val="008E6F9B"/>
    <w:rsid w:val="008E7933"/>
    <w:rsid w:val="008F24D7"/>
    <w:rsid w:val="008F2C76"/>
    <w:rsid w:val="009105E3"/>
    <w:rsid w:val="00911A1F"/>
    <w:rsid w:val="00914A08"/>
    <w:rsid w:val="00923037"/>
    <w:rsid w:val="0092584A"/>
    <w:rsid w:val="009273A9"/>
    <w:rsid w:val="00935567"/>
    <w:rsid w:val="00940B2A"/>
    <w:rsid w:val="009452D8"/>
    <w:rsid w:val="009466CE"/>
    <w:rsid w:val="00947F9D"/>
    <w:rsid w:val="009504DC"/>
    <w:rsid w:val="00971AAC"/>
    <w:rsid w:val="00973D14"/>
    <w:rsid w:val="009809BC"/>
    <w:rsid w:val="009811B5"/>
    <w:rsid w:val="00985DCF"/>
    <w:rsid w:val="0098647B"/>
    <w:rsid w:val="00986A65"/>
    <w:rsid w:val="009914AC"/>
    <w:rsid w:val="00991C43"/>
    <w:rsid w:val="00991CEF"/>
    <w:rsid w:val="00992975"/>
    <w:rsid w:val="009A1EC8"/>
    <w:rsid w:val="009A2D85"/>
    <w:rsid w:val="009A5BEA"/>
    <w:rsid w:val="009B6719"/>
    <w:rsid w:val="009C2D14"/>
    <w:rsid w:val="009C3E98"/>
    <w:rsid w:val="009C7CE8"/>
    <w:rsid w:val="009D07FF"/>
    <w:rsid w:val="009D22C2"/>
    <w:rsid w:val="009D2EE7"/>
    <w:rsid w:val="009D49F4"/>
    <w:rsid w:val="009D6253"/>
    <w:rsid w:val="009E2EC7"/>
    <w:rsid w:val="009E6744"/>
    <w:rsid w:val="00A027B0"/>
    <w:rsid w:val="00A0305B"/>
    <w:rsid w:val="00A063A1"/>
    <w:rsid w:val="00A139AF"/>
    <w:rsid w:val="00A145DC"/>
    <w:rsid w:val="00A2266C"/>
    <w:rsid w:val="00A239F0"/>
    <w:rsid w:val="00A24401"/>
    <w:rsid w:val="00A304FC"/>
    <w:rsid w:val="00A30A50"/>
    <w:rsid w:val="00A30C2F"/>
    <w:rsid w:val="00A41D12"/>
    <w:rsid w:val="00A41ED1"/>
    <w:rsid w:val="00A44120"/>
    <w:rsid w:val="00A44B6D"/>
    <w:rsid w:val="00A45934"/>
    <w:rsid w:val="00A50540"/>
    <w:rsid w:val="00A54F6D"/>
    <w:rsid w:val="00A55791"/>
    <w:rsid w:val="00A55DC5"/>
    <w:rsid w:val="00A60018"/>
    <w:rsid w:val="00A639B4"/>
    <w:rsid w:val="00A63AB1"/>
    <w:rsid w:val="00A655EE"/>
    <w:rsid w:val="00A70B5F"/>
    <w:rsid w:val="00A71881"/>
    <w:rsid w:val="00A71FBD"/>
    <w:rsid w:val="00A73B7C"/>
    <w:rsid w:val="00A82287"/>
    <w:rsid w:val="00A853F7"/>
    <w:rsid w:val="00A85579"/>
    <w:rsid w:val="00A85C03"/>
    <w:rsid w:val="00A90E74"/>
    <w:rsid w:val="00A9397F"/>
    <w:rsid w:val="00A94A1A"/>
    <w:rsid w:val="00A968B1"/>
    <w:rsid w:val="00A9763D"/>
    <w:rsid w:val="00A979D6"/>
    <w:rsid w:val="00AA0104"/>
    <w:rsid w:val="00AA3AA7"/>
    <w:rsid w:val="00AA48FC"/>
    <w:rsid w:val="00AA4E6A"/>
    <w:rsid w:val="00AB0263"/>
    <w:rsid w:val="00AB2F1C"/>
    <w:rsid w:val="00AB612A"/>
    <w:rsid w:val="00AB76E5"/>
    <w:rsid w:val="00AC252F"/>
    <w:rsid w:val="00AC2C53"/>
    <w:rsid w:val="00AC5DE7"/>
    <w:rsid w:val="00AC69B6"/>
    <w:rsid w:val="00AC7C14"/>
    <w:rsid w:val="00AC7CDB"/>
    <w:rsid w:val="00AD04BE"/>
    <w:rsid w:val="00AD0598"/>
    <w:rsid w:val="00AD1C28"/>
    <w:rsid w:val="00AD1FE2"/>
    <w:rsid w:val="00AD6168"/>
    <w:rsid w:val="00AD6BA4"/>
    <w:rsid w:val="00AE4055"/>
    <w:rsid w:val="00AE5527"/>
    <w:rsid w:val="00AF6FEB"/>
    <w:rsid w:val="00AF7EBA"/>
    <w:rsid w:val="00B01FD3"/>
    <w:rsid w:val="00B026AD"/>
    <w:rsid w:val="00B0281C"/>
    <w:rsid w:val="00B02AD9"/>
    <w:rsid w:val="00B0509C"/>
    <w:rsid w:val="00B07506"/>
    <w:rsid w:val="00B07EA0"/>
    <w:rsid w:val="00B136FC"/>
    <w:rsid w:val="00B16DE2"/>
    <w:rsid w:val="00B21975"/>
    <w:rsid w:val="00B234D4"/>
    <w:rsid w:val="00B2679C"/>
    <w:rsid w:val="00B26D4E"/>
    <w:rsid w:val="00B33875"/>
    <w:rsid w:val="00B33B34"/>
    <w:rsid w:val="00B352AD"/>
    <w:rsid w:val="00B367FA"/>
    <w:rsid w:val="00B37C84"/>
    <w:rsid w:val="00B37CE5"/>
    <w:rsid w:val="00B40346"/>
    <w:rsid w:val="00B41ECD"/>
    <w:rsid w:val="00B4212F"/>
    <w:rsid w:val="00B465D1"/>
    <w:rsid w:val="00B470E5"/>
    <w:rsid w:val="00B5051E"/>
    <w:rsid w:val="00B54D2F"/>
    <w:rsid w:val="00B55AEA"/>
    <w:rsid w:val="00B5732C"/>
    <w:rsid w:val="00B66D38"/>
    <w:rsid w:val="00B70A52"/>
    <w:rsid w:val="00B71742"/>
    <w:rsid w:val="00B821E8"/>
    <w:rsid w:val="00B90E74"/>
    <w:rsid w:val="00B9399B"/>
    <w:rsid w:val="00B93CD0"/>
    <w:rsid w:val="00B94A9C"/>
    <w:rsid w:val="00B97628"/>
    <w:rsid w:val="00BA2FF0"/>
    <w:rsid w:val="00BA51C8"/>
    <w:rsid w:val="00BA546F"/>
    <w:rsid w:val="00BA57A2"/>
    <w:rsid w:val="00BA7E9D"/>
    <w:rsid w:val="00BB051D"/>
    <w:rsid w:val="00BB4618"/>
    <w:rsid w:val="00BB6C37"/>
    <w:rsid w:val="00BC4030"/>
    <w:rsid w:val="00BC721F"/>
    <w:rsid w:val="00BD4A2F"/>
    <w:rsid w:val="00BE7CA8"/>
    <w:rsid w:val="00BF08CF"/>
    <w:rsid w:val="00BF102A"/>
    <w:rsid w:val="00BF33E8"/>
    <w:rsid w:val="00C029E1"/>
    <w:rsid w:val="00C0687B"/>
    <w:rsid w:val="00C06F32"/>
    <w:rsid w:val="00C07C19"/>
    <w:rsid w:val="00C11F6D"/>
    <w:rsid w:val="00C12031"/>
    <w:rsid w:val="00C12C18"/>
    <w:rsid w:val="00C138EA"/>
    <w:rsid w:val="00C1469F"/>
    <w:rsid w:val="00C30D6E"/>
    <w:rsid w:val="00C37E6E"/>
    <w:rsid w:val="00C409C6"/>
    <w:rsid w:val="00C41F1E"/>
    <w:rsid w:val="00C467B4"/>
    <w:rsid w:val="00C61773"/>
    <w:rsid w:val="00C66841"/>
    <w:rsid w:val="00C74AF2"/>
    <w:rsid w:val="00C76591"/>
    <w:rsid w:val="00C76C6E"/>
    <w:rsid w:val="00C77251"/>
    <w:rsid w:val="00C81505"/>
    <w:rsid w:val="00C815D9"/>
    <w:rsid w:val="00C844B6"/>
    <w:rsid w:val="00C93AEC"/>
    <w:rsid w:val="00CA0F55"/>
    <w:rsid w:val="00CA3628"/>
    <w:rsid w:val="00CA4224"/>
    <w:rsid w:val="00CA4FC1"/>
    <w:rsid w:val="00CA6F1A"/>
    <w:rsid w:val="00CB44A6"/>
    <w:rsid w:val="00CB6DC2"/>
    <w:rsid w:val="00CC0FEE"/>
    <w:rsid w:val="00CC1B9A"/>
    <w:rsid w:val="00CC434B"/>
    <w:rsid w:val="00CC51BC"/>
    <w:rsid w:val="00CC581B"/>
    <w:rsid w:val="00CC79DD"/>
    <w:rsid w:val="00CC7B11"/>
    <w:rsid w:val="00CC7B8F"/>
    <w:rsid w:val="00CC7C14"/>
    <w:rsid w:val="00CD08AB"/>
    <w:rsid w:val="00CD51AE"/>
    <w:rsid w:val="00CE1F7C"/>
    <w:rsid w:val="00CE2463"/>
    <w:rsid w:val="00CE262C"/>
    <w:rsid w:val="00CE417B"/>
    <w:rsid w:val="00CE4710"/>
    <w:rsid w:val="00CE4F3B"/>
    <w:rsid w:val="00CF115A"/>
    <w:rsid w:val="00CF42D5"/>
    <w:rsid w:val="00D0025E"/>
    <w:rsid w:val="00D0372A"/>
    <w:rsid w:val="00D1255B"/>
    <w:rsid w:val="00D1499E"/>
    <w:rsid w:val="00D16B90"/>
    <w:rsid w:val="00D21320"/>
    <w:rsid w:val="00D22277"/>
    <w:rsid w:val="00D243F9"/>
    <w:rsid w:val="00D260DA"/>
    <w:rsid w:val="00D327CF"/>
    <w:rsid w:val="00D35A8F"/>
    <w:rsid w:val="00D41297"/>
    <w:rsid w:val="00D42819"/>
    <w:rsid w:val="00D42953"/>
    <w:rsid w:val="00D4379F"/>
    <w:rsid w:val="00D45528"/>
    <w:rsid w:val="00D4645B"/>
    <w:rsid w:val="00D52989"/>
    <w:rsid w:val="00D5634A"/>
    <w:rsid w:val="00D572FC"/>
    <w:rsid w:val="00D65E94"/>
    <w:rsid w:val="00D74663"/>
    <w:rsid w:val="00D76539"/>
    <w:rsid w:val="00D8071F"/>
    <w:rsid w:val="00D8487C"/>
    <w:rsid w:val="00D9004E"/>
    <w:rsid w:val="00D90320"/>
    <w:rsid w:val="00D95DDF"/>
    <w:rsid w:val="00DA770C"/>
    <w:rsid w:val="00DA7BA5"/>
    <w:rsid w:val="00DB084D"/>
    <w:rsid w:val="00DB2D1C"/>
    <w:rsid w:val="00DB2F41"/>
    <w:rsid w:val="00DC0A7F"/>
    <w:rsid w:val="00DC2378"/>
    <w:rsid w:val="00DC7441"/>
    <w:rsid w:val="00DD11A1"/>
    <w:rsid w:val="00DD413D"/>
    <w:rsid w:val="00DD65F6"/>
    <w:rsid w:val="00DD6AB2"/>
    <w:rsid w:val="00DD73EE"/>
    <w:rsid w:val="00DE0969"/>
    <w:rsid w:val="00DE0FEE"/>
    <w:rsid w:val="00DE1EE1"/>
    <w:rsid w:val="00DE34B0"/>
    <w:rsid w:val="00DE3923"/>
    <w:rsid w:val="00DE504E"/>
    <w:rsid w:val="00DF39BB"/>
    <w:rsid w:val="00DF472B"/>
    <w:rsid w:val="00DF5CE4"/>
    <w:rsid w:val="00DF6D11"/>
    <w:rsid w:val="00E006D2"/>
    <w:rsid w:val="00E0373A"/>
    <w:rsid w:val="00E03A9F"/>
    <w:rsid w:val="00E043BB"/>
    <w:rsid w:val="00E104BE"/>
    <w:rsid w:val="00E13732"/>
    <w:rsid w:val="00E1426E"/>
    <w:rsid w:val="00E150F8"/>
    <w:rsid w:val="00E154AE"/>
    <w:rsid w:val="00E15DE3"/>
    <w:rsid w:val="00E16642"/>
    <w:rsid w:val="00E202C5"/>
    <w:rsid w:val="00E2057F"/>
    <w:rsid w:val="00E20734"/>
    <w:rsid w:val="00E20EDB"/>
    <w:rsid w:val="00E20F22"/>
    <w:rsid w:val="00E23D1B"/>
    <w:rsid w:val="00E31917"/>
    <w:rsid w:val="00E31D74"/>
    <w:rsid w:val="00E343C8"/>
    <w:rsid w:val="00E3445F"/>
    <w:rsid w:val="00E40761"/>
    <w:rsid w:val="00E4378E"/>
    <w:rsid w:val="00E44BF5"/>
    <w:rsid w:val="00E52E18"/>
    <w:rsid w:val="00E547D1"/>
    <w:rsid w:val="00E62DE5"/>
    <w:rsid w:val="00E700AE"/>
    <w:rsid w:val="00E77253"/>
    <w:rsid w:val="00E774CB"/>
    <w:rsid w:val="00E81A47"/>
    <w:rsid w:val="00E8427E"/>
    <w:rsid w:val="00E931C3"/>
    <w:rsid w:val="00E93739"/>
    <w:rsid w:val="00E941F8"/>
    <w:rsid w:val="00E94255"/>
    <w:rsid w:val="00E94830"/>
    <w:rsid w:val="00E9489B"/>
    <w:rsid w:val="00EA30FD"/>
    <w:rsid w:val="00EA313E"/>
    <w:rsid w:val="00EA511B"/>
    <w:rsid w:val="00EA5FD8"/>
    <w:rsid w:val="00EB2D4A"/>
    <w:rsid w:val="00EB2E4F"/>
    <w:rsid w:val="00EB2EF3"/>
    <w:rsid w:val="00EB6811"/>
    <w:rsid w:val="00EC279F"/>
    <w:rsid w:val="00EC3B64"/>
    <w:rsid w:val="00ED2F37"/>
    <w:rsid w:val="00ED56AB"/>
    <w:rsid w:val="00ED691C"/>
    <w:rsid w:val="00ED6ED6"/>
    <w:rsid w:val="00ED79CB"/>
    <w:rsid w:val="00EE1BD1"/>
    <w:rsid w:val="00EE1ECC"/>
    <w:rsid w:val="00EE383E"/>
    <w:rsid w:val="00EE3F0D"/>
    <w:rsid w:val="00EE61BB"/>
    <w:rsid w:val="00F00D41"/>
    <w:rsid w:val="00F01892"/>
    <w:rsid w:val="00F117C8"/>
    <w:rsid w:val="00F11CC6"/>
    <w:rsid w:val="00F14523"/>
    <w:rsid w:val="00F146A7"/>
    <w:rsid w:val="00F24A93"/>
    <w:rsid w:val="00F26A48"/>
    <w:rsid w:val="00F30DEE"/>
    <w:rsid w:val="00F31377"/>
    <w:rsid w:val="00F32310"/>
    <w:rsid w:val="00F35777"/>
    <w:rsid w:val="00F3580F"/>
    <w:rsid w:val="00F372E6"/>
    <w:rsid w:val="00F41483"/>
    <w:rsid w:val="00F45BC7"/>
    <w:rsid w:val="00F46854"/>
    <w:rsid w:val="00F57C01"/>
    <w:rsid w:val="00F61273"/>
    <w:rsid w:val="00F61DDE"/>
    <w:rsid w:val="00F63425"/>
    <w:rsid w:val="00F63E5E"/>
    <w:rsid w:val="00F64CF8"/>
    <w:rsid w:val="00F6561A"/>
    <w:rsid w:val="00F65CB7"/>
    <w:rsid w:val="00F66A25"/>
    <w:rsid w:val="00F73D74"/>
    <w:rsid w:val="00F800B0"/>
    <w:rsid w:val="00F80CCE"/>
    <w:rsid w:val="00F838D7"/>
    <w:rsid w:val="00F85DFD"/>
    <w:rsid w:val="00F90EF3"/>
    <w:rsid w:val="00F97F43"/>
    <w:rsid w:val="00FA0635"/>
    <w:rsid w:val="00FA2ACD"/>
    <w:rsid w:val="00FB01B1"/>
    <w:rsid w:val="00FB38A6"/>
    <w:rsid w:val="00FB4EB1"/>
    <w:rsid w:val="00FB6AD3"/>
    <w:rsid w:val="00FB71D5"/>
    <w:rsid w:val="00FC0211"/>
    <w:rsid w:val="00FC1E5A"/>
    <w:rsid w:val="00FC5344"/>
    <w:rsid w:val="00FC584A"/>
    <w:rsid w:val="00FE1F09"/>
    <w:rsid w:val="00FE3AA5"/>
    <w:rsid w:val="00FE3AF6"/>
    <w:rsid w:val="00FE43AB"/>
    <w:rsid w:val="00FF10E5"/>
    <w:rsid w:val="00FF642D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1C7AB4"/>
  <w15:chartTrackingRefBased/>
  <w15:docId w15:val="{68A8F642-9F70-419A-A69F-DE9F8621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1E3D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F3DF6"/>
    <w:pPr>
      <w:keepNext/>
      <w:ind w:left="43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463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qFormat/>
    <w:rsid w:val="003F3DF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5032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50329"/>
    <w:pPr>
      <w:tabs>
        <w:tab w:val="center" w:pos="4153"/>
        <w:tab w:val="right" w:pos="8306"/>
      </w:tabs>
    </w:pPr>
  </w:style>
  <w:style w:type="paragraph" w:customStyle="1" w:styleId="yMiscellaneousBody">
    <w:name w:val="yMiscellaneous Body"/>
    <w:basedOn w:val="Normal"/>
    <w:rsid w:val="002B149F"/>
    <w:pPr>
      <w:spacing w:before="160"/>
    </w:pPr>
    <w:rPr>
      <w:rFonts w:ascii="Times New Roman" w:hAnsi="Times New Roman"/>
      <w:sz w:val="22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147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PageNumber">
    <w:name w:val="page number"/>
    <w:basedOn w:val="DefaultParagraphFont"/>
    <w:rsid w:val="00664226"/>
  </w:style>
  <w:style w:type="paragraph" w:styleId="ListParagraph">
    <w:name w:val="List Paragraph"/>
    <w:basedOn w:val="Normal"/>
    <w:qFormat/>
    <w:rsid w:val="00B0281C"/>
    <w:pPr>
      <w:ind w:left="720"/>
    </w:pPr>
  </w:style>
  <w:style w:type="character" w:styleId="Hyperlink">
    <w:name w:val="Hyperlink"/>
    <w:rsid w:val="006E46C0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6E46C0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"/>
    <w:qFormat/>
    <w:rsid w:val="00F838D7"/>
    <w:pPr>
      <w:numPr>
        <w:numId w:val="6"/>
      </w:numPr>
      <w:tabs>
        <w:tab w:val="left" w:pos="1702"/>
      </w:tabs>
      <w:spacing w:line="360" w:lineRule="auto"/>
    </w:pPr>
    <w:rPr>
      <w:rFonts w:eastAsia="Arial" w:cs="Arial"/>
      <w:sz w:val="20"/>
      <w:szCs w:val="20"/>
      <w:lang w:eastAsia="en-AU"/>
    </w:rPr>
  </w:style>
  <w:style w:type="table" w:styleId="TableGrid">
    <w:name w:val="Table Grid"/>
    <w:basedOn w:val="TableNormal"/>
    <w:rsid w:val="00BF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24635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46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3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mantha.nadilo@fourthfloor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E39D2F279814F994C07774E067AA1" ma:contentTypeVersion="0" ma:contentTypeDescription="Create a new document." ma:contentTypeScope="" ma:versionID="300bc114c38bd67a10dc5e24840702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472277407f864a325106f14ce97c6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173E84-4D59-4301-8C0D-D0BEDBAC7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2BBD5D-4549-4F35-A94A-099E1DCEE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431AEF-E1D3-43FA-BF30-EB59E11440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10219</CharactersWithSpaces>
  <SharedDoc>false</SharedDoc>
  <HyperlinkBase/>
  <HLinks>
    <vt:vector size="6" baseType="variant">
      <vt:variant>
        <vt:i4>1507447</vt:i4>
      </vt:variant>
      <vt:variant>
        <vt:i4>0</vt:i4>
      </vt:variant>
      <vt:variant>
        <vt:i4>0</vt:i4>
      </vt:variant>
      <vt:variant>
        <vt:i4>5</vt:i4>
      </vt:variant>
      <vt:variant>
        <vt:lpwstr>mailto:nebbs@bennettandco.com.au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Russell</dc:creator>
  <cp:keywords/>
  <dc:description/>
  <cp:lastModifiedBy>Young</cp:lastModifiedBy>
  <cp:revision>2</cp:revision>
  <cp:lastPrinted>2019-12-16T08:34:00Z</cp:lastPrinted>
  <dcterms:created xsi:type="dcterms:W3CDTF">2026-07-22T06:51:00Z</dcterms:created>
  <dcterms:modified xsi:type="dcterms:W3CDTF">2026-07-22T06:51:00Z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0x010100016E39D2F279814F994C07774E067AA1</vt:lpwstr>
  </property>
</Properties>
</file>